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B39" w:rsidRPr="00722B39" w:rsidRDefault="00722B39" w:rsidP="0008362B">
      <w:pPr>
        <w:pBdr>
          <w:top w:val="single" w:sz="4" w:space="1" w:color="auto"/>
          <w:left w:val="single" w:sz="4" w:space="0" w:color="auto"/>
          <w:bottom w:val="single" w:sz="4" w:space="1" w:color="auto"/>
          <w:right w:val="single" w:sz="4" w:space="4" w:color="auto"/>
        </w:pBdr>
        <w:shd w:val="clear" w:color="auto" w:fill="C2D69B" w:themeFill="accent3" w:themeFillTint="99"/>
        <w:jc w:val="center"/>
        <w:rPr>
          <w:b/>
          <w:u w:val="single"/>
        </w:rPr>
      </w:pPr>
      <w:r w:rsidRPr="00722B39">
        <w:rPr>
          <w:b/>
          <w:u w:val="single"/>
        </w:rPr>
        <w:t>Titre :</w:t>
      </w:r>
    </w:p>
    <w:p w:rsidR="009B451B" w:rsidRPr="0063661A" w:rsidRDefault="0005253A" w:rsidP="0008362B">
      <w:pPr>
        <w:pBdr>
          <w:top w:val="single" w:sz="4" w:space="1" w:color="auto"/>
          <w:left w:val="single" w:sz="4" w:space="0" w:color="auto"/>
          <w:bottom w:val="single" w:sz="4" w:space="1" w:color="auto"/>
          <w:right w:val="single" w:sz="4" w:space="4" w:color="auto"/>
        </w:pBdr>
        <w:shd w:val="clear" w:color="auto" w:fill="C2D69B" w:themeFill="accent3" w:themeFillTint="99"/>
        <w:jc w:val="center"/>
        <w:rPr>
          <w:b/>
        </w:rPr>
      </w:pPr>
      <w:r w:rsidRPr="00A239BC">
        <w:rPr>
          <w:b/>
        </w:rPr>
        <w:t>Les régionalismes du français parlé dans la Drôme nord occitane : quelles perspectives pour le processus de la néologie ?</w:t>
      </w:r>
    </w:p>
    <w:p w:rsidR="0063661A" w:rsidRPr="00A239BC" w:rsidRDefault="0063661A" w:rsidP="0008362B">
      <w:pPr>
        <w:ind w:left="142"/>
        <w:rPr>
          <w:sz w:val="24"/>
          <w:szCs w:val="24"/>
        </w:rPr>
      </w:pPr>
      <w:r w:rsidRPr="0063661A">
        <w:rPr>
          <w:b/>
          <w:sz w:val="24"/>
          <w:szCs w:val="24"/>
          <w:u w:val="single"/>
        </w:rPr>
        <w:t>Mots clés</w:t>
      </w:r>
      <w:r>
        <w:rPr>
          <w:sz w:val="24"/>
          <w:szCs w:val="24"/>
        </w:rPr>
        <w:t> : régionalismes, occitan,</w:t>
      </w:r>
      <w:r w:rsidRPr="0063661A">
        <w:rPr>
          <w:sz w:val="24"/>
          <w:szCs w:val="24"/>
        </w:rPr>
        <w:t xml:space="preserve"> </w:t>
      </w:r>
      <w:r>
        <w:rPr>
          <w:sz w:val="24"/>
          <w:szCs w:val="24"/>
        </w:rPr>
        <w:t>diachronie, néologie, politiques linguistiques</w:t>
      </w:r>
      <w:r w:rsidR="0008362B">
        <w:rPr>
          <w:sz w:val="24"/>
          <w:szCs w:val="24"/>
        </w:rPr>
        <w:t>.</w:t>
      </w:r>
    </w:p>
    <w:p w:rsidR="005B731C" w:rsidRPr="00A239BC" w:rsidRDefault="00386AF1" w:rsidP="00A239BC">
      <w:pPr>
        <w:jc w:val="both"/>
        <w:rPr>
          <w:sz w:val="24"/>
          <w:szCs w:val="24"/>
        </w:rPr>
      </w:pPr>
      <w:r w:rsidRPr="00A239BC">
        <w:rPr>
          <w:sz w:val="24"/>
          <w:szCs w:val="24"/>
        </w:rPr>
        <w:t xml:space="preserve">    </w:t>
      </w:r>
      <w:r w:rsidR="00BF4729" w:rsidRPr="004A0029">
        <w:rPr>
          <w:sz w:val="24"/>
          <w:szCs w:val="24"/>
        </w:rPr>
        <w:t>Selon</w:t>
      </w:r>
      <w:r w:rsidR="00BF4729" w:rsidRPr="00A239BC">
        <w:rPr>
          <w:sz w:val="24"/>
          <w:szCs w:val="24"/>
        </w:rPr>
        <w:t xml:space="preserve"> </w:t>
      </w:r>
      <w:r w:rsidR="002951A9" w:rsidRPr="00A239BC">
        <w:rPr>
          <w:sz w:val="24"/>
          <w:szCs w:val="24"/>
        </w:rPr>
        <w:t>Jukka Havu et Matti Rasanen (2017 : 70)</w:t>
      </w:r>
      <w:r w:rsidR="002951A9" w:rsidRPr="00A239BC">
        <w:rPr>
          <w:rStyle w:val="Appelnotedebasdep"/>
          <w:sz w:val="24"/>
          <w:szCs w:val="24"/>
        </w:rPr>
        <w:footnoteReference w:id="2"/>
      </w:r>
      <w:r w:rsidR="002951A9" w:rsidRPr="00A239BC">
        <w:rPr>
          <w:sz w:val="24"/>
          <w:szCs w:val="24"/>
        </w:rPr>
        <w:t xml:space="preserve">: </w:t>
      </w:r>
      <w:r w:rsidR="002951A9" w:rsidRPr="00A239BC">
        <w:rPr>
          <w:b/>
          <w:i/>
          <w:sz w:val="24"/>
          <w:szCs w:val="24"/>
        </w:rPr>
        <w:t>« la langue source de la plupart des néologismes d’emprunt aujourd’hui est l’anglais</w:t>
      </w:r>
      <w:r w:rsidR="002951A9" w:rsidRPr="00A239BC">
        <w:rPr>
          <w:sz w:val="24"/>
          <w:szCs w:val="24"/>
        </w:rPr>
        <w:t>.</w:t>
      </w:r>
      <w:r w:rsidR="002951A9" w:rsidRPr="00A239BC">
        <w:rPr>
          <w:b/>
          <w:sz w:val="24"/>
          <w:szCs w:val="24"/>
        </w:rPr>
        <w:t>»</w:t>
      </w:r>
      <w:r w:rsidR="00E96482">
        <w:rPr>
          <w:sz w:val="24"/>
          <w:szCs w:val="24"/>
        </w:rPr>
        <w:t xml:space="preserve"> </w:t>
      </w:r>
      <w:r w:rsidR="00571CFC">
        <w:rPr>
          <w:sz w:val="24"/>
          <w:szCs w:val="24"/>
        </w:rPr>
        <w:t>Or,</w:t>
      </w:r>
      <w:r w:rsidR="00E96482" w:rsidRPr="00A239BC">
        <w:rPr>
          <w:sz w:val="24"/>
          <w:szCs w:val="24"/>
        </w:rPr>
        <w:t xml:space="preserve"> les dialectes, (l’occitan), continuent d’« </w:t>
      </w:r>
      <w:r w:rsidR="00E96482" w:rsidRPr="00A239BC">
        <w:rPr>
          <w:i/>
          <w:sz w:val="24"/>
          <w:szCs w:val="24"/>
        </w:rPr>
        <w:t>enrichir »</w:t>
      </w:r>
      <w:r w:rsidR="00E96482" w:rsidRPr="00A239BC">
        <w:rPr>
          <w:sz w:val="24"/>
          <w:szCs w:val="24"/>
        </w:rPr>
        <w:t xml:space="preserve"> et « </w:t>
      </w:r>
      <w:r w:rsidR="00E96482" w:rsidRPr="00A239BC">
        <w:rPr>
          <w:i/>
          <w:sz w:val="24"/>
          <w:szCs w:val="24"/>
        </w:rPr>
        <w:t>redynamiser</w:t>
      </w:r>
      <w:r w:rsidR="00E96482">
        <w:rPr>
          <w:i/>
          <w:sz w:val="24"/>
          <w:szCs w:val="24"/>
        </w:rPr>
        <w:t> »</w:t>
      </w:r>
      <w:r w:rsidR="00E96482" w:rsidRPr="00A239BC">
        <w:rPr>
          <w:i/>
          <w:sz w:val="24"/>
          <w:szCs w:val="24"/>
        </w:rPr>
        <w:t> </w:t>
      </w:r>
      <w:r w:rsidR="00E96482" w:rsidRPr="00A239BC">
        <w:rPr>
          <w:sz w:val="24"/>
          <w:szCs w:val="24"/>
        </w:rPr>
        <w:t xml:space="preserve"> le stock lexical des langues </w:t>
      </w:r>
      <w:r w:rsidR="005D76FD" w:rsidRPr="00A239BC">
        <w:rPr>
          <w:sz w:val="24"/>
          <w:szCs w:val="24"/>
        </w:rPr>
        <w:t>malgré le modernisme et la norme linguistique</w:t>
      </w:r>
      <w:r w:rsidR="007152C7">
        <w:rPr>
          <w:sz w:val="24"/>
          <w:szCs w:val="24"/>
        </w:rPr>
        <w:t xml:space="preserve"> imposée par les politiques linguistiques</w:t>
      </w:r>
      <w:r w:rsidR="0030784D" w:rsidRPr="00A239BC">
        <w:rPr>
          <w:sz w:val="24"/>
          <w:szCs w:val="24"/>
        </w:rPr>
        <w:t>.</w:t>
      </w:r>
      <w:r w:rsidR="00571CFC">
        <w:rPr>
          <w:sz w:val="24"/>
          <w:szCs w:val="24"/>
        </w:rPr>
        <w:t xml:space="preserve"> D’où </w:t>
      </w:r>
      <w:r w:rsidR="002501E8">
        <w:rPr>
          <w:sz w:val="24"/>
          <w:szCs w:val="24"/>
        </w:rPr>
        <w:t>« </w:t>
      </w:r>
      <w:r w:rsidR="00571CFC">
        <w:rPr>
          <w:sz w:val="24"/>
          <w:szCs w:val="24"/>
        </w:rPr>
        <w:t>l</w:t>
      </w:r>
      <w:r w:rsidR="00722B39">
        <w:rPr>
          <w:sz w:val="24"/>
          <w:szCs w:val="24"/>
        </w:rPr>
        <w:t>a</w:t>
      </w:r>
      <w:r w:rsidR="002501E8">
        <w:rPr>
          <w:sz w:val="24"/>
          <w:szCs w:val="24"/>
        </w:rPr>
        <w:t xml:space="preserve"> longue</w:t>
      </w:r>
      <w:r w:rsidR="00722B39">
        <w:rPr>
          <w:sz w:val="24"/>
          <w:szCs w:val="24"/>
        </w:rPr>
        <w:t xml:space="preserve"> survie</w:t>
      </w:r>
      <w:r w:rsidR="002501E8">
        <w:rPr>
          <w:sz w:val="24"/>
          <w:szCs w:val="24"/>
        </w:rPr>
        <w:t> »</w:t>
      </w:r>
      <w:r w:rsidR="00722B39">
        <w:rPr>
          <w:sz w:val="24"/>
          <w:szCs w:val="24"/>
        </w:rPr>
        <w:t xml:space="preserve"> </w:t>
      </w:r>
      <w:r w:rsidR="00571CFC">
        <w:rPr>
          <w:sz w:val="24"/>
          <w:szCs w:val="24"/>
        </w:rPr>
        <w:t xml:space="preserve">des </w:t>
      </w:r>
      <w:r w:rsidR="00E96482">
        <w:rPr>
          <w:sz w:val="24"/>
          <w:szCs w:val="24"/>
        </w:rPr>
        <w:t>régionalismes</w:t>
      </w:r>
      <w:r w:rsidR="00E63EF6">
        <w:rPr>
          <w:sz w:val="24"/>
          <w:szCs w:val="24"/>
        </w:rPr>
        <w:t xml:space="preserve"> au sein du </w:t>
      </w:r>
      <w:r w:rsidR="0063661A" w:rsidRPr="00A239BC">
        <w:rPr>
          <w:sz w:val="24"/>
          <w:szCs w:val="24"/>
        </w:rPr>
        <w:t>français standard</w:t>
      </w:r>
      <w:r w:rsidR="0063661A" w:rsidRPr="00A239BC">
        <w:rPr>
          <w:rStyle w:val="Appelnotedebasdep"/>
          <w:sz w:val="24"/>
          <w:szCs w:val="24"/>
        </w:rPr>
        <w:footnoteReference w:id="3"/>
      </w:r>
      <w:r w:rsidR="00722B39">
        <w:rPr>
          <w:sz w:val="24"/>
          <w:szCs w:val="24"/>
        </w:rPr>
        <w:t xml:space="preserve"> </w:t>
      </w:r>
      <w:r w:rsidR="002501E8">
        <w:rPr>
          <w:sz w:val="24"/>
          <w:szCs w:val="24"/>
        </w:rPr>
        <w:t>serait préférable</w:t>
      </w:r>
      <w:r w:rsidR="00C21B89">
        <w:rPr>
          <w:sz w:val="24"/>
          <w:szCs w:val="24"/>
        </w:rPr>
        <w:t>.</w:t>
      </w:r>
      <w:r w:rsidR="00E96482">
        <w:rPr>
          <w:sz w:val="24"/>
          <w:szCs w:val="24"/>
        </w:rPr>
        <w:t xml:space="preserve"> A contrario</w:t>
      </w:r>
      <w:r w:rsidR="00C21B89">
        <w:rPr>
          <w:sz w:val="24"/>
          <w:szCs w:val="24"/>
        </w:rPr>
        <w:t>, c</w:t>
      </w:r>
      <w:r w:rsidR="00B70B56">
        <w:rPr>
          <w:sz w:val="24"/>
          <w:szCs w:val="24"/>
        </w:rPr>
        <w:t xml:space="preserve">omme l’atteste </w:t>
      </w:r>
      <w:r w:rsidR="00B70B56" w:rsidRPr="00A239BC">
        <w:rPr>
          <w:sz w:val="24"/>
          <w:szCs w:val="24"/>
        </w:rPr>
        <w:t>Carmen Sanchez Manzanares (2017 : 115)</w:t>
      </w:r>
      <w:r w:rsidR="00B70B56">
        <w:rPr>
          <w:rStyle w:val="Appelnotedebasdep"/>
          <w:sz w:val="24"/>
          <w:szCs w:val="24"/>
        </w:rPr>
        <w:footnoteReference w:id="4"/>
      </w:r>
      <w:r w:rsidR="00C21B89">
        <w:rPr>
          <w:sz w:val="24"/>
          <w:szCs w:val="24"/>
        </w:rPr>
        <w:t xml:space="preserve">, </w:t>
      </w:r>
      <w:r w:rsidR="0008362B" w:rsidRPr="0008362B">
        <w:rPr>
          <w:b/>
          <w:sz w:val="24"/>
          <w:szCs w:val="24"/>
        </w:rPr>
        <w:t>«</w:t>
      </w:r>
      <w:r w:rsidR="00B70B56" w:rsidRPr="00A239BC">
        <w:rPr>
          <w:b/>
          <w:sz w:val="24"/>
          <w:szCs w:val="24"/>
        </w:rPr>
        <w:t> </w:t>
      </w:r>
      <w:r w:rsidR="0008362B">
        <w:rPr>
          <w:b/>
          <w:i/>
          <w:sz w:val="24"/>
          <w:szCs w:val="24"/>
        </w:rPr>
        <w:t>l</w:t>
      </w:r>
      <w:r w:rsidR="00B70B56" w:rsidRPr="00A239BC">
        <w:rPr>
          <w:b/>
          <w:i/>
          <w:sz w:val="24"/>
          <w:szCs w:val="24"/>
        </w:rPr>
        <w:t>es néologismes, de par leur nature intrinsèque, sont des faits de langue temporels, car il s’agit de créations lexicales nouvelles en processus de diffusion qui, lorsqu’elles se consolident dans l’usage, perdent leur caractère de nouveauté</w:t>
      </w:r>
      <w:r w:rsidR="00B70B56" w:rsidRPr="00A239BC">
        <w:rPr>
          <w:b/>
          <w:sz w:val="24"/>
          <w:szCs w:val="24"/>
        </w:rPr>
        <w:t>. »</w:t>
      </w:r>
      <w:r w:rsidR="00FD62B8">
        <w:rPr>
          <w:sz w:val="24"/>
          <w:szCs w:val="24"/>
        </w:rPr>
        <w:t xml:space="preserve"> </w:t>
      </w:r>
      <w:r w:rsidR="00CB6BC8">
        <w:rPr>
          <w:sz w:val="24"/>
          <w:szCs w:val="24"/>
        </w:rPr>
        <w:t>Selon les enquêtes de vitalité</w:t>
      </w:r>
      <w:r w:rsidR="00722B39">
        <w:rPr>
          <w:sz w:val="24"/>
          <w:szCs w:val="24"/>
        </w:rPr>
        <w:t>,</w:t>
      </w:r>
      <w:r w:rsidR="00CB6BC8" w:rsidRPr="00CB6BC8">
        <w:rPr>
          <w:sz w:val="24"/>
          <w:szCs w:val="24"/>
        </w:rPr>
        <w:t xml:space="preserve"> </w:t>
      </w:r>
      <w:r w:rsidR="00CB6BC8">
        <w:rPr>
          <w:sz w:val="24"/>
          <w:szCs w:val="24"/>
        </w:rPr>
        <w:t xml:space="preserve">après </w:t>
      </w:r>
      <w:r w:rsidR="00CB6BC8" w:rsidRPr="00A239BC">
        <w:rPr>
          <w:sz w:val="24"/>
          <w:szCs w:val="24"/>
        </w:rPr>
        <w:t>Claudine Fréchet (1997)</w:t>
      </w:r>
      <w:r w:rsidR="00CB6BC8">
        <w:rPr>
          <w:rStyle w:val="Appelnotedebasdep"/>
          <w:sz w:val="24"/>
          <w:szCs w:val="24"/>
        </w:rPr>
        <w:footnoteReference w:id="5"/>
      </w:r>
      <w:r w:rsidR="00CB6BC8">
        <w:rPr>
          <w:sz w:val="24"/>
          <w:szCs w:val="24"/>
        </w:rPr>
        <w:t xml:space="preserve"> , cette </w:t>
      </w:r>
      <w:r w:rsidR="00CB6BC8" w:rsidRPr="002501E8">
        <w:rPr>
          <w:i/>
          <w:sz w:val="24"/>
          <w:szCs w:val="24"/>
        </w:rPr>
        <w:t>consolidation dans les usages</w:t>
      </w:r>
      <w:r w:rsidR="00CB6BC8">
        <w:rPr>
          <w:sz w:val="24"/>
          <w:szCs w:val="24"/>
        </w:rPr>
        <w:t xml:space="preserve"> est également notable à travers</w:t>
      </w:r>
      <w:r w:rsidR="00CB6BC8" w:rsidRPr="00CB6BC8">
        <w:rPr>
          <w:sz w:val="24"/>
          <w:szCs w:val="24"/>
        </w:rPr>
        <w:t xml:space="preserve"> </w:t>
      </w:r>
      <w:r w:rsidR="00571CFC">
        <w:rPr>
          <w:sz w:val="24"/>
          <w:szCs w:val="24"/>
        </w:rPr>
        <w:t xml:space="preserve">les </w:t>
      </w:r>
      <w:r w:rsidR="00CB6BC8">
        <w:rPr>
          <w:sz w:val="24"/>
          <w:szCs w:val="24"/>
        </w:rPr>
        <w:t xml:space="preserve">régionalismes </w:t>
      </w:r>
      <w:r w:rsidR="00571CFC" w:rsidRPr="00A239BC">
        <w:rPr>
          <w:sz w:val="24"/>
          <w:szCs w:val="24"/>
        </w:rPr>
        <w:t>attestés dans les dictionnaires</w:t>
      </w:r>
      <w:r w:rsidR="00571CFC">
        <w:rPr>
          <w:rStyle w:val="Appelnotedebasdep"/>
          <w:sz w:val="24"/>
          <w:szCs w:val="24"/>
        </w:rPr>
        <w:footnoteReference w:id="6"/>
      </w:r>
      <w:r w:rsidR="00571CFC">
        <w:rPr>
          <w:sz w:val="24"/>
          <w:szCs w:val="24"/>
        </w:rPr>
        <w:t xml:space="preserve"> et </w:t>
      </w:r>
      <w:r w:rsidR="002501E8">
        <w:rPr>
          <w:sz w:val="24"/>
          <w:szCs w:val="24"/>
        </w:rPr>
        <w:t xml:space="preserve">par </w:t>
      </w:r>
      <w:r w:rsidR="00571CFC">
        <w:rPr>
          <w:sz w:val="24"/>
          <w:szCs w:val="24"/>
        </w:rPr>
        <w:t>les locuteurs</w:t>
      </w:r>
      <w:r w:rsidR="00571CFC">
        <w:rPr>
          <w:rStyle w:val="Appelnotedebasdep"/>
          <w:sz w:val="24"/>
          <w:szCs w:val="24"/>
        </w:rPr>
        <w:footnoteReference w:id="7"/>
      </w:r>
      <w:r w:rsidR="00571CFC" w:rsidRPr="00571CFC">
        <w:rPr>
          <w:sz w:val="24"/>
          <w:szCs w:val="24"/>
        </w:rPr>
        <w:t xml:space="preserve"> </w:t>
      </w:r>
      <w:r w:rsidR="002501E8">
        <w:rPr>
          <w:sz w:val="24"/>
          <w:szCs w:val="24"/>
        </w:rPr>
        <w:t xml:space="preserve">de </w:t>
      </w:r>
      <w:r w:rsidR="00571CFC" w:rsidRPr="00A239BC">
        <w:rPr>
          <w:sz w:val="24"/>
          <w:szCs w:val="24"/>
        </w:rPr>
        <w:t>la Drôme</w:t>
      </w:r>
      <w:r w:rsidR="00571CFC" w:rsidRPr="00A239BC">
        <w:rPr>
          <w:rStyle w:val="Appelnotedebasdep"/>
          <w:sz w:val="24"/>
          <w:szCs w:val="24"/>
        </w:rPr>
        <w:footnoteReference w:id="8"/>
      </w:r>
      <w:r w:rsidR="00CB6BC8">
        <w:rPr>
          <w:sz w:val="24"/>
          <w:szCs w:val="24"/>
        </w:rPr>
        <w:t xml:space="preserve">. </w:t>
      </w:r>
      <w:r w:rsidR="00A239BC">
        <w:rPr>
          <w:sz w:val="24"/>
          <w:szCs w:val="24"/>
        </w:rPr>
        <w:t xml:space="preserve"> </w:t>
      </w:r>
      <w:r w:rsidR="009C48AE">
        <w:rPr>
          <w:sz w:val="24"/>
          <w:szCs w:val="24"/>
        </w:rPr>
        <w:t>L’</w:t>
      </w:r>
      <w:r w:rsidR="00424566" w:rsidRPr="00A239BC">
        <w:rPr>
          <w:sz w:val="24"/>
          <w:szCs w:val="24"/>
        </w:rPr>
        <w:t xml:space="preserve">article </w:t>
      </w:r>
      <w:r w:rsidR="009C48AE">
        <w:rPr>
          <w:sz w:val="24"/>
          <w:szCs w:val="24"/>
        </w:rPr>
        <w:t xml:space="preserve">se donnera </w:t>
      </w:r>
      <w:r w:rsidR="001D215D" w:rsidRPr="00A239BC">
        <w:rPr>
          <w:sz w:val="24"/>
          <w:szCs w:val="24"/>
        </w:rPr>
        <w:t xml:space="preserve">pour ambition </w:t>
      </w:r>
      <w:r w:rsidR="00424566" w:rsidRPr="00A239BC">
        <w:rPr>
          <w:sz w:val="24"/>
          <w:szCs w:val="24"/>
        </w:rPr>
        <w:t>d’</w:t>
      </w:r>
      <w:r w:rsidR="002601F4">
        <w:rPr>
          <w:sz w:val="24"/>
          <w:szCs w:val="24"/>
        </w:rPr>
        <w:t>interroger l</w:t>
      </w:r>
      <w:r w:rsidR="00424566" w:rsidRPr="00A239BC">
        <w:rPr>
          <w:sz w:val="24"/>
          <w:szCs w:val="24"/>
        </w:rPr>
        <w:t xml:space="preserve">es </w:t>
      </w:r>
      <w:r w:rsidR="009B451B" w:rsidRPr="00A239BC">
        <w:rPr>
          <w:sz w:val="24"/>
          <w:szCs w:val="24"/>
        </w:rPr>
        <w:t>critères normatif</w:t>
      </w:r>
      <w:r w:rsidR="00424566" w:rsidRPr="00A239BC">
        <w:rPr>
          <w:sz w:val="24"/>
          <w:szCs w:val="24"/>
        </w:rPr>
        <w:t xml:space="preserve">s </w:t>
      </w:r>
      <w:r w:rsidR="009B451B" w:rsidRPr="00A239BC">
        <w:rPr>
          <w:sz w:val="24"/>
          <w:szCs w:val="24"/>
        </w:rPr>
        <w:t>pour l’acceptabilité des</w:t>
      </w:r>
      <w:r w:rsidR="00424566" w:rsidRPr="00A239BC">
        <w:rPr>
          <w:sz w:val="24"/>
          <w:szCs w:val="24"/>
        </w:rPr>
        <w:t xml:space="preserve"> </w:t>
      </w:r>
      <w:r w:rsidR="0081225D" w:rsidRPr="00A239BC">
        <w:rPr>
          <w:sz w:val="24"/>
          <w:szCs w:val="24"/>
        </w:rPr>
        <w:t>régionalismes</w:t>
      </w:r>
      <w:r w:rsidR="00571CFC">
        <w:rPr>
          <w:sz w:val="24"/>
          <w:szCs w:val="24"/>
        </w:rPr>
        <w:t xml:space="preserve"> afin de visualiser</w:t>
      </w:r>
      <w:r w:rsidR="002501E8">
        <w:rPr>
          <w:sz w:val="24"/>
          <w:szCs w:val="24"/>
        </w:rPr>
        <w:t xml:space="preserve"> quelles en sont</w:t>
      </w:r>
      <w:r w:rsidR="00571CFC">
        <w:rPr>
          <w:sz w:val="24"/>
          <w:szCs w:val="24"/>
        </w:rPr>
        <w:t xml:space="preserve"> </w:t>
      </w:r>
      <w:r w:rsidR="0081225D">
        <w:rPr>
          <w:sz w:val="24"/>
          <w:szCs w:val="24"/>
        </w:rPr>
        <w:t xml:space="preserve">les perspectives </w:t>
      </w:r>
      <w:r w:rsidR="002501E8">
        <w:rPr>
          <w:sz w:val="24"/>
          <w:szCs w:val="24"/>
        </w:rPr>
        <w:t xml:space="preserve">pour le </w:t>
      </w:r>
      <w:r w:rsidR="0081225D">
        <w:rPr>
          <w:sz w:val="24"/>
          <w:szCs w:val="24"/>
        </w:rPr>
        <w:t>processus de la néologie. Il s’</w:t>
      </w:r>
      <w:r w:rsidR="007152C7">
        <w:rPr>
          <w:sz w:val="24"/>
          <w:szCs w:val="24"/>
        </w:rPr>
        <w:t>agit d’axer les analyses sur le</w:t>
      </w:r>
      <w:r w:rsidR="0081225D">
        <w:rPr>
          <w:sz w:val="24"/>
          <w:szCs w:val="24"/>
        </w:rPr>
        <w:t xml:space="preserve">s </w:t>
      </w:r>
      <w:r w:rsidR="004D7A2B">
        <w:rPr>
          <w:sz w:val="24"/>
          <w:szCs w:val="24"/>
        </w:rPr>
        <w:t>nouveaux</w:t>
      </w:r>
      <w:r w:rsidR="0081225D">
        <w:rPr>
          <w:sz w:val="24"/>
          <w:szCs w:val="24"/>
        </w:rPr>
        <w:t xml:space="preserve"> régionalismes</w:t>
      </w:r>
      <w:r w:rsidR="004D7A2B">
        <w:rPr>
          <w:sz w:val="24"/>
          <w:szCs w:val="24"/>
        </w:rPr>
        <w:t xml:space="preserve"> </w:t>
      </w:r>
      <w:r w:rsidR="00424566" w:rsidRPr="00A239BC">
        <w:rPr>
          <w:sz w:val="24"/>
          <w:szCs w:val="24"/>
        </w:rPr>
        <w:t>lexicaux</w:t>
      </w:r>
      <w:r w:rsidR="00812D3E">
        <w:rPr>
          <w:sz w:val="24"/>
          <w:szCs w:val="24"/>
        </w:rPr>
        <w:t xml:space="preserve"> (</w:t>
      </w:r>
      <w:r w:rsidR="00812D3E" w:rsidRPr="00812D3E">
        <w:rPr>
          <w:i/>
          <w:sz w:val="24"/>
          <w:szCs w:val="24"/>
        </w:rPr>
        <w:t>potager</w:t>
      </w:r>
      <w:r w:rsidR="00812D3E">
        <w:rPr>
          <w:rStyle w:val="Appelnotedebasdep"/>
          <w:i/>
          <w:sz w:val="24"/>
          <w:szCs w:val="24"/>
        </w:rPr>
        <w:footnoteReference w:id="9"/>
      </w:r>
      <w:r w:rsidR="00812D3E">
        <w:rPr>
          <w:sz w:val="24"/>
          <w:szCs w:val="24"/>
        </w:rPr>
        <w:t>)</w:t>
      </w:r>
      <w:r w:rsidR="007B1D45">
        <w:rPr>
          <w:sz w:val="24"/>
          <w:szCs w:val="24"/>
        </w:rPr>
        <w:t xml:space="preserve"> et </w:t>
      </w:r>
      <w:r w:rsidR="007B1D45" w:rsidRPr="00A239BC">
        <w:rPr>
          <w:i/>
          <w:sz w:val="24"/>
          <w:szCs w:val="24"/>
        </w:rPr>
        <w:t>emprunts intégrau</w:t>
      </w:r>
      <w:r w:rsidR="007B1D45">
        <w:rPr>
          <w:i/>
          <w:sz w:val="24"/>
          <w:szCs w:val="24"/>
        </w:rPr>
        <w:t>x </w:t>
      </w:r>
      <w:r w:rsidR="007B1D45" w:rsidRPr="00A239BC">
        <w:rPr>
          <w:sz w:val="24"/>
          <w:szCs w:val="24"/>
        </w:rPr>
        <w:t xml:space="preserve">(un </w:t>
      </w:r>
      <w:r w:rsidR="007B1D45" w:rsidRPr="00A239BC">
        <w:rPr>
          <w:i/>
          <w:sz w:val="24"/>
          <w:szCs w:val="24"/>
        </w:rPr>
        <w:t>kiou bada</w:t>
      </w:r>
      <w:r w:rsidR="007B1D45">
        <w:rPr>
          <w:rStyle w:val="Appelnotedebasdep"/>
          <w:i/>
          <w:sz w:val="24"/>
          <w:szCs w:val="24"/>
        </w:rPr>
        <w:footnoteReference w:id="10"/>
      </w:r>
      <w:r w:rsidR="007B1D45">
        <w:rPr>
          <w:sz w:val="24"/>
          <w:szCs w:val="24"/>
        </w:rPr>
        <w:t xml:space="preserve">) d’une part; les régionalismes </w:t>
      </w:r>
      <w:r w:rsidR="00424566" w:rsidRPr="00A239BC">
        <w:rPr>
          <w:sz w:val="24"/>
          <w:szCs w:val="24"/>
        </w:rPr>
        <w:t>sémantiques</w:t>
      </w:r>
      <w:r w:rsidR="004D7A2B">
        <w:rPr>
          <w:sz w:val="24"/>
          <w:szCs w:val="24"/>
        </w:rPr>
        <w:t xml:space="preserve"> </w:t>
      </w:r>
      <w:r w:rsidR="007152C7">
        <w:rPr>
          <w:sz w:val="24"/>
          <w:szCs w:val="24"/>
        </w:rPr>
        <w:t xml:space="preserve">ayant des sèmes continuateurs de l’occitan en français standard </w:t>
      </w:r>
      <w:r w:rsidR="004D7A2B" w:rsidRPr="00A239BC">
        <w:rPr>
          <w:sz w:val="24"/>
          <w:szCs w:val="24"/>
        </w:rPr>
        <w:t>(</w:t>
      </w:r>
      <w:r w:rsidR="004D7A2B" w:rsidRPr="00812D3E">
        <w:rPr>
          <w:i/>
          <w:sz w:val="24"/>
          <w:szCs w:val="24"/>
        </w:rPr>
        <w:t>zézette</w:t>
      </w:r>
      <w:r w:rsidR="004D7A2B">
        <w:rPr>
          <w:rStyle w:val="Appelnotedebasdep"/>
          <w:sz w:val="24"/>
          <w:szCs w:val="24"/>
        </w:rPr>
        <w:footnoteReference w:id="11"/>
      </w:r>
      <w:r w:rsidR="004D7A2B">
        <w:rPr>
          <w:sz w:val="24"/>
          <w:szCs w:val="24"/>
        </w:rPr>
        <w:t>,</w:t>
      </w:r>
      <w:r w:rsidR="004D7A2B" w:rsidRPr="00A239BC">
        <w:rPr>
          <w:sz w:val="24"/>
          <w:szCs w:val="24"/>
        </w:rPr>
        <w:t xml:space="preserve"> </w:t>
      </w:r>
      <w:r w:rsidR="004D7A2B" w:rsidRPr="00812D3E">
        <w:rPr>
          <w:i/>
          <w:sz w:val="24"/>
          <w:szCs w:val="24"/>
        </w:rPr>
        <w:t>faire courir</w:t>
      </w:r>
      <w:r w:rsidR="004D7A2B">
        <w:rPr>
          <w:rStyle w:val="Appelnotedebasdep"/>
          <w:sz w:val="24"/>
          <w:szCs w:val="24"/>
        </w:rPr>
        <w:footnoteReference w:id="12"/>
      </w:r>
      <w:r w:rsidR="004D7A2B" w:rsidRPr="00A239BC">
        <w:rPr>
          <w:sz w:val="24"/>
          <w:szCs w:val="24"/>
        </w:rPr>
        <w:t>),</w:t>
      </w:r>
      <w:r w:rsidR="00424566" w:rsidRPr="00A239BC">
        <w:rPr>
          <w:sz w:val="24"/>
          <w:szCs w:val="24"/>
        </w:rPr>
        <w:t xml:space="preserve"> grammaticaux</w:t>
      </w:r>
      <w:r w:rsidR="00B36AB9" w:rsidRPr="00A239BC">
        <w:rPr>
          <w:sz w:val="24"/>
          <w:szCs w:val="24"/>
        </w:rPr>
        <w:t xml:space="preserve"> </w:t>
      </w:r>
      <w:r w:rsidR="004D7A2B">
        <w:rPr>
          <w:sz w:val="24"/>
          <w:szCs w:val="24"/>
        </w:rPr>
        <w:t>(</w:t>
      </w:r>
      <w:r w:rsidR="004D7A2B" w:rsidRPr="002601F4">
        <w:rPr>
          <w:i/>
          <w:sz w:val="24"/>
          <w:szCs w:val="24"/>
        </w:rPr>
        <w:t>p</w:t>
      </w:r>
      <w:r w:rsidR="004D7A2B">
        <w:rPr>
          <w:i/>
          <w:sz w:val="24"/>
          <w:szCs w:val="24"/>
        </w:rPr>
        <w:t>uis</w:t>
      </w:r>
      <w:r w:rsidR="004D7A2B">
        <w:rPr>
          <w:rStyle w:val="Appelnotedebasdep"/>
          <w:i/>
          <w:sz w:val="24"/>
          <w:szCs w:val="24"/>
        </w:rPr>
        <w:footnoteReference w:id="13"/>
      </w:r>
      <w:r w:rsidR="004D7A2B">
        <w:rPr>
          <w:sz w:val="24"/>
          <w:szCs w:val="24"/>
        </w:rPr>
        <w:t xml:space="preserve">, </w:t>
      </w:r>
      <w:r w:rsidR="004D7A2B" w:rsidRPr="002601F4">
        <w:rPr>
          <w:i/>
          <w:sz w:val="24"/>
          <w:szCs w:val="24"/>
        </w:rPr>
        <w:t>être à barule</w:t>
      </w:r>
      <w:r w:rsidR="004D7A2B">
        <w:rPr>
          <w:sz w:val="24"/>
          <w:szCs w:val="24"/>
        </w:rPr>
        <w:t>)</w:t>
      </w:r>
      <w:r w:rsidR="004D7A2B">
        <w:rPr>
          <w:rStyle w:val="Appelnotedebasdep"/>
          <w:sz w:val="24"/>
          <w:szCs w:val="24"/>
        </w:rPr>
        <w:footnoteReference w:id="14"/>
      </w:r>
      <w:r w:rsidR="004D7A2B">
        <w:rPr>
          <w:sz w:val="24"/>
          <w:szCs w:val="24"/>
        </w:rPr>
        <w:t xml:space="preserve"> </w:t>
      </w:r>
      <w:r w:rsidR="007B1D45">
        <w:rPr>
          <w:sz w:val="24"/>
          <w:szCs w:val="24"/>
        </w:rPr>
        <w:t xml:space="preserve">et ceux </w:t>
      </w:r>
      <w:r w:rsidR="007B1D45" w:rsidRPr="00E34021">
        <w:rPr>
          <w:sz w:val="24"/>
          <w:szCs w:val="24"/>
        </w:rPr>
        <w:t>qui font de</w:t>
      </w:r>
      <w:r w:rsidR="007B1D45" w:rsidRPr="00A239BC">
        <w:rPr>
          <w:sz w:val="24"/>
          <w:szCs w:val="24"/>
        </w:rPr>
        <w:t xml:space="preserve">s </w:t>
      </w:r>
      <w:r w:rsidR="007B1D45" w:rsidRPr="00A239BC">
        <w:rPr>
          <w:i/>
          <w:sz w:val="24"/>
          <w:szCs w:val="24"/>
        </w:rPr>
        <w:t>va-et-vient</w:t>
      </w:r>
      <w:r w:rsidR="002501E8">
        <w:rPr>
          <w:sz w:val="24"/>
          <w:szCs w:val="24"/>
        </w:rPr>
        <w:t xml:space="preserve"> </w:t>
      </w:r>
      <w:r w:rsidR="007B1D45">
        <w:rPr>
          <w:sz w:val="24"/>
          <w:szCs w:val="24"/>
        </w:rPr>
        <w:t>dans les usages (</w:t>
      </w:r>
      <w:r w:rsidR="007B1D45" w:rsidRPr="00812D3E">
        <w:rPr>
          <w:i/>
          <w:sz w:val="24"/>
          <w:szCs w:val="24"/>
        </w:rPr>
        <w:t>blaguer</w:t>
      </w:r>
      <w:r w:rsidR="007B1D45">
        <w:rPr>
          <w:rStyle w:val="Appelnotedebasdep"/>
          <w:sz w:val="24"/>
          <w:szCs w:val="24"/>
        </w:rPr>
        <w:footnoteReference w:id="15"/>
      </w:r>
      <w:r w:rsidR="007B1D45">
        <w:rPr>
          <w:i/>
          <w:sz w:val="24"/>
          <w:szCs w:val="24"/>
        </w:rPr>
        <w:t>, c</w:t>
      </w:r>
      <w:r w:rsidR="007B1D45" w:rsidRPr="00A239BC">
        <w:rPr>
          <w:i/>
          <w:sz w:val="24"/>
          <w:szCs w:val="24"/>
        </w:rPr>
        <w:t>ailloux</w:t>
      </w:r>
      <w:r w:rsidR="007B1D45">
        <w:rPr>
          <w:sz w:val="24"/>
          <w:szCs w:val="24"/>
        </w:rPr>
        <w:t>/</w:t>
      </w:r>
      <w:r w:rsidR="007B1D45" w:rsidRPr="00A239BC">
        <w:rPr>
          <w:i/>
          <w:sz w:val="24"/>
          <w:szCs w:val="24"/>
        </w:rPr>
        <w:t>cayou</w:t>
      </w:r>
      <w:r w:rsidR="007B1D45">
        <w:rPr>
          <w:rStyle w:val="Appelnotedebasdep"/>
          <w:i/>
          <w:sz w:val="24"/>
          <w:szCs w:val="24"/>
        </w:rPr>
        <w:footnoteReference w:id="16"/>
      </w:r>
      <w:r w:rsidR="007B1D45">
        <w:rPr>
          <w:sz w:val="24"/>
          <w:szCs w:val="24"/>
        </w:rPr>
        <w:t>,</w:t>
      </w:r>
      <w:r w:rsidR="007B1D45" w:rsidRPr="00A239BC">
        <w:rPr>
          <w:sz w:val="24"/>
          <w:szCs w:val="24"/>
        </w:rPr>
        <w:t xml:space="preserve"> </w:t>
      </w:r>
      <w:r w:rsidR="007B1D45" w:rsidRPr="00A239BC">
        <w:rPr>
          <w:i/>
          <w:sz w:val="24"/>
          <w:szCs w:val="24"/>
        </w:rPr>
        <w:t>piou</w:t>
      </w:r>
      <w:r w:rsidR="007B1D45">
        <w:rPr>
          <w:sz w:val="24"/>
          <w:szCs w:val="24"/>
        </w:rPr>
        <w:t>/</w:t>
      </w:r>
      <w:r w:rsidR="007B1D45" w:rsidRPr="00A239BC">
        <w:rPr>
          <w:i/>
          <w:sz w:val="24"/>
          <w:szCs w:val="24"/>
        </w:rPr>
        <w:t>pillou</w:t>
      </w:r>
      <w:r w:rsidR="007B1D45">
        <w:rPr>
          <w:rStyle w:val="Appelnotedebasdep"/>
          <w:i/>
          <w:sz w:val="24"/>
          <w:szCs w:val="24"/>
        </w:rPr>
        <w:footnoteReference w:id="17"/>
      </w:r>
      <w:r w:rsidR="007B1D45" w:rsidRPr="00A239BC">
        <w:rPr>
          <w:sz w:val="24"/>
          <w:szCs w:val="24"/>
        </w:rPr>
        <w:t>)</w:t>
      </w:r>
      <w:r w:rsidR="00B36AB9" w:rsidRPr="00A239BC">
        <w:rPr>
          <w:sz w:val="24"/>
          <w:szCs w:val="24"/>
        </w:rPr>
        <w:t xml:space="preserve"> </w:t>
      </w:r>
      <w:r w:rsidR="007B1D45">
        <w:rPr>
          <w:sz w:val="24"/>
          <w:szCs w:val="24"/>
        </w:rPr>
        <w:t>d’autre part.</w:t>
      </w:r>
    </w:p>
    <w:p w:rsidR="007B1D45" w:rsidRPr="00A239BC" w:rsidRDefault="007B1D45">
      <w:pPr>
        <w:jc w:val="both"/>
        <w:rPr>
          <w:sz w:val="24"/>
          <w:szCs w:val="24"/>
        </w:rPr>
      </w:pPr>
    </w:p>
    <w:sectPr w:rsidR="007B1D45" w:rsidRPr="00A239BC" w:rsidSect="002D2A4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265" w:rsidRDefault="00090265" w:rsidP="002951A9">
      <w:pPr>
        <w:spacing w:after="0" w:line="240" w:lineRule="auto"/>
      </w:pPr>
      <w:r>
        <w:separator/>
      </w:r>
    </w:p>
  </w:endnote>
  <w:endnote w:type="continuationSeparator" w:id="1">
    <w:p w:rsidR="00090265" w:rsidRDefault="00090265" w:rsidP="00295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265" w:rsidRDefault="00090265" w:rsidP="002951A9">
      <w:pPr>
        <w:spacing w:after="0" w:line="240" w:lineRule="auto"/>
      </w:pPr>
      <w:r>
        <w:separator/>
      </w:r>
    </w:p>
  </w:footnote>
  <w:footnote w:type="continuationSeparator" w:id="1">
    <w:p w:rsidR="00090265" w:rsidRDefault="00090265" w:rsidP="002951A9">
      <w:pPr>
        <w:spacing w:after="0" w:line="240" w:lineRule="auto"/>
      </w:pPr>
      <w:r>
        <w:continuationSeparator/>
      </w:r>
    </w:p>
  </w:footnote>
  <w:footnote w:id="2">
    <w:p w:rsidR="002951A9" w:rsidRPr="0063661A" w:rsidRDefault="002951A9">
      <w:pPr>
        <w:pStyle w:val="Notedebasdepage"/>
        <w:rPr>
          <w:sz w:val="16"/>
          <w:szCs w:val="16"/>
        </w:rPr>
      </w:pPr>
      <w:r w:rsidRPr="002951A9">
        <w:rPr>
          <w:rStyle w:val="Appelnotedebasdep"/>
          <w:sz w:val="16"/>
          <w:szCs w:val="16"/>
        </w:rPr>
        <w:footnoteRef/>
      </w:r>
      <w:r w:rsidRPr="002951A9">
        <w:rPr>
          <w:sz w:val="16"/>
          <w:szCs w:val="16"/>
        </w:rPr>
        <w:t xml:space="preserve"> « La norme et le néologisme en finois », in  Cahiers de lexicologie,  </w:t>
      </w:r>
      <w:r w:rsidRPr="002951A9">
        <w:rPr>
          <w:i/>
          <w:sz w:val="16"/>
          <w:szCs w:val="16"/>
        </w:rPr>
        <w:t>Normes linguistiques et terminologique : conflits d’usages</w:t>
      </w:r>
      <w:r w:rsidRPr="002951A9">
        <w:rPr>
          <w:sz w:val="16"/>
          <w:szCs w:val="16"/>
        </w:rPr>
        <w:t xml:space="preserve">,  </w:t>
      </w:r>
      <w:r w:rsidRPr="0063661A">
        <w:rPr>
          <w:sz w:val="16"/>
          <w:szCs w:val="16"/>
        </w:rPr>
        <w:t>2017</w:t>
      </w:r>
      <w:r w:rsidR="009C48AE">
        <w:rPr>
          <w:sz w:val="16"/>
          <w:szCs w:val="16"/>
        </w:rPr>
        <w:t>, Classiques Garnier.</w:t>
      </w:r>
    </w:p>
  </w:footnote>
  <w:footnote w:id="3">
    <w:p w:rsidR="0063661A" w:rsidRPr="0063661A" w:rsidRDefault="0063661A" w:rsidP="0063661A">
      <w:pPr>
        <w:pStyle w:val="Notedebasdepage"/>
        <w:rPr>
          <w:sz w:val="16"/>
          <w:szCs w:val="16"/>
        </w:rPr>
      </w:pPr>
      <w:r w:rsidRPr="0063661A">
        <w:rPr>
          <w:rStyle w:val="Appelnotedebasdep"/>
          <w:sz w:val="16"/>
          <w:szCs w:val="16"/>
        </w:rPr>
        <w:footnoteRef/>
      </w:r>
      <w:r w:rsidRPr="0063661A">
        <w:rPr>
          <w:sz w:val="16"/>
          <w:szCs w:val="16"/>
        </w:rPr>
        <w:t xml:space="preserve"> Pour ce qui est de l’étude.</w:t>
      </w:r>
    </w:p>
  </w:footnote>
  <w:footnote w:id="4">
    <w:p w:rsidR="00B70B56" w:rsidRPr="009C48AE" w:rsidRDefault="00B70B56" w:rsidP="00B70B56">
      <w:pPr>
        <w:pStyle w:val="Notedebasdepage"/>
        <w:rPr>
          <w:sz w:val="16"/>
          <w:szCs w:val="16"/>
        </w:rPr>
      </w:pPr>
      <w:r w:rsidRPr="009C48AE">
        <w:rPr>
          <w:rStyle w:val="Appelnotedebasdep"/>
          <w:sz w:val="16"/>
          <w:szCs w:val="16"/>
        </w:rPr>
        <w:footnoteRef/>
      </w:r>
      <w:r w:rsidRPr="009C48AE">
        <w:rPr>
          <w:sz w:val="16"/>
          <w:szCs w:val="16"/>
        </w:rPr>
        <w:t xml:space="preserve"> « Critères normatifs en espagnol pour l’acceptabilité des néologismes », in  Cahiers de lexicologie,  </w:t>
      </w:r>
      <w:r w:rsidRPr="009C48AE">
        <w:rPr>
          <w:i/>
          <w:sz w:val="16"/>
          <w:szCs w:val="16"/>
        </w:rPr>
        <w:t>Normes linguistiques et terminologique : conflits d’usages</w:t>
      </w:r>
      <w:r w:rsidRPr="009C48AE">
        <w:rPr>
          <w:sz w:val="16"/>
          <w:szCs w:val="16"/>
        </w:rPr>
        <w:t>,  2017</w:t>
      </w:r>
      <w:r>
        <w:rPr>
          <w:sz w:val="16"/>
          <w:szCs w:val="16"/>
        </w:rPr>
        <w:t>, Classiques Garnier</w:t>
      </w:r>
      <w:r w:rsidRPr="009C48AE">
        <w:rPr>
          <w:sz w:val="16"/>
          <w:szCs w:val="16"/>
        </w:rPr>
        <w:t>.</w:t>
      </w:r>
    </w:p>
  </w:footnote>
  <w:footnote w:id="5">
    <w:p w:rsidR="00CB6BC8" w:rsidRPr="0063661A" w:rsidRDefault="00CB6BC8" w:rsidP="00CB6BC8">
      <w:pPr>
        <w:pStyle w:val="Notedebasdepage"/>
        <w:rPr>
          <w:sz w:val="16"/>
          <w:szCs w:val="16"/>
        </w:rPr>
      </w:pPr>
      <w:r w:rsidRPr="0063661A">
        <w:rPr>
          <w:rStyle w:val="Appelnotedebasdep"/>
          <w:sz w:val="16"/>
          <w:szCs w:val="16"/>
        </w:rPr>
        <w:footnoteRef/>
      </w:r>
      <w:r w:rsidRPr="0063661A">
        <w:rPr>
          <w:sz w:val="16"/>
          <w:szCs w:val="16"/>
        </w:rPr>
        <w:t xml:space="preserve"> </w:t>
      </w:r>
      <w:r w:rsidRPr="0063661A">
        <w:rPr>
          <w:i/>
          <w:sz w:val="16"/>
          <w:szCs w:val="16"/>
        </w:rPr>
        <w:t>Dictionnaire du  parler de la Drôme,</w:t>
      </w:r>
      <w:r w:rsidRPr="0063661A">
        <w:rPr>
          <w:sz w:val="16"/>
          <w:szCs w:val="16"/>
        </w:rPr>
        <w:t xml:space="preserve"> Ed. E &amp; R.</w:t>
      </w:r>
    </w:p>
  </w:footnote>
  <w:footnote w:id="6">
    <w:p w:rsidR="00571CFC" w:rsidRPr="0063661A" w:rsidRDefault="00571CFC" w:rsidP="00571CFC">
      <w:pPr>
        <w:pStyle w:val="Notedebasdepage"/>
        <w:rPr>
          <w:sz w:val="16"/>
          <w:szCs w:val="16"/>
        </w:rPr>
      </w:pPr>
      <w:r w:rsidRPr="0063661A">
        <w:rPr>
          <w:rStyle w:val="Appelnotedebasdep"/>
          <w:sz w:val="16"/>
          <w:szCs w:val="16"/>
        </w:rPr>
        <w:footnoteRef/>
      </w:r>
      <w:r w:rsidRPr="0063661A">
        <w:rPr>
          <w:sz w:val="16"/>
          <w:szCs w:val="16"/>
        </w:rPr>
        <w:t xml:space="preserve"> Numériques, TLF, argotiques</w:t>
      </w:r>
      <w:r>
        <w:rPr>
          <w:sz w:val="16"/>
          <w:szCs w:val="16"/>
        </w:rPr>
        <w:t>,</w:t>
      </w:r>
      <w:r w:rsidRPr="0063661A">
        <w:rPr>
          <w:sz w:val="16"/>
          <w:szCs w:val="16"/>
        </w:rPr>
        <w:t xml:space="preserve"> etc.</w:t>
      </w:r>
    </w:p>
  </w:footnote>
  <w:footnote w:id="7">
    <w:p w:rsidR="00571CFC" w:rsidRPr="0063661A" w:rsidRDefault="00571CFC" w:rsidP="00571CFC">
      <w:pPr>
        <w:pStyle w:val="Notedebasdepage"/>
        <w:rPr>
          <w:sz w:val="16"/>
          <w:szCs w:val="16"/>
        </w:rPr>
      </w:pPr>
      <w:r w:rsidRPr="0063661A">
        <w:rPr>
          <w:rStyle w:val="Appelnotedebasdep"/>
          <w:sz w:val="16"/>
          <w:szCs w:val="16"/>
        </w:rPr>
        <w:footnoteRef/>
      </w:r>
      <w:r w:rsidRPr="0063661A">
        <w:rPr>
          <w:sz w:val="16"/>
          <w:szCs w:val="16"/>
        </w:rPr>
        <w:t xml:space="preserve"> Ayant de 6 à 60 ans et ayant des statuts professionnels variés : élèves, étudiants, commerçants, agriculteurs, employés de bureau, chef d’entreprise. Il s’agit de conversations familières où contexte et situation influent sur l’emploi des régionalismes. </w:t>
      </w:r>
    </w:p>
  </w:footnote>
  <w:footnote w:id="8">
    <w:p w:rsidR="00571CFC" w:rsidRPr="0063661A" w:rsidRDefault="00571CFC" w:rsidP="00571CFC">
      <w:pPr>
        <w:pStyle w:val="Notedebasdepage"/>
        <w:rPr>
          <w:sz w:val="16"/>
          <w:szCs w:val="16"/>
        </w:rPr>
      </w:pPr>
      <w:r w:rsidRPr="0063661A">
        <w:rPr>
          <w:rStyle w:val="Appelnotedebasdep"/>
          <w:sz w:val="16"/>
          <w:szCs w:val="16"/>
        </w:rPr>
        <w:footnoteRef/>
      </w:r>
      <w:r w:rsidRPr="0063661A">
        <w:rPr>
          <w:sz w:val="16"/>
          <w:szCs w:val="16"/>
        </w:rPr>
        <w:t xml:space="preserve"> Département du la région sud-est de la France.</w:t>
      </w:r>
    </w:p>
  </w:footnote>
  <w:footnote w:id="9">
    <w:p w:rsidR="00812D3E" w:rsidRPr="00812D3E" w:rsidRDefault="00812D3E">
      <w:pPr>
        <w:pStyle w:val="Notedebasdepage"/>
        <w:rPr>
          <w:sz w:val="16"/>
          <w:szCs w:val="16"/>
        </w:rPr>
      </w:pPr>
      <w:r>
        <w:rPr>
          <w:rStyle w:val="Appelnotedebasdep"/>
        </w:rPr>
        <w:footnoteRef/>
      </w:r>
      <w:r>
        <w:t xml:space="preserve"> </w:t>
      </w:r>
      <w:r w:rsidRPr="00812D3E">
        <w:rPr>
          <w:sz w:val="16"/>
          <w:szCs w:val="16"/>
        </w:rPr>
        <w:t>Réchaud</w:t>
      </w:r>
      <w:r>
        <w:rPr>
          <w:sz w:val="16"/>
          <w:szCs w:val="16"/>
        </w:rPr>
        <w:t>.</w:t>
      </w:r>
    </w:p>
  </w:footnote>
  <w:footnote w:id="10">
    <w:p w:rsidR="007B1D45" w:rsidRPr="0063661A" w:rsidRDefault="007B1D45" w:rsidP="007B1D45">
      <w:pPr>
        <w:pStyle w:val="Notedebasdepage"/>
        <w:rPr>
          <w:sz w:val="16"/>
          <w:szCs w:val="16"/>
        </w:rPr>
      </w:pPr>
      <w:r w:rsidRPr="0063661A">
        <w:rPr>
          <w:rStyle w:val="Appelnotedebasdep"/>
          <w:sz w:val="16"/>
          <w:szCs w:val="16"/>
        </w:rPr>
        <w:footnoteRef/>
      </w:r>
      <w:r w:rsidRPr="0063661A">
        <w:rPr>
          <w:sz w:val="16"/>
          <w:szCs w:val="16"/>
        </w:rPr>
        <w:t xml:space="preserve"> Une personne qui ne ferme pas les portes</w:t>
      </w:r>
      <w:r>
        <w:rPr>
          <w:sz w:val="16"/>
          <w:szCs w:val="16"/>
        </w:rPr>
        <w:t>.</w:t>
      </w:r>
    </w:p>
  </w:footnote>
  <w:footnote w:id="11">
    <w:p w:rsidR="004D7A2B" w:rsidRPr="0063661A" w:rsidRDefault="004D7A2B" w:rsidP="004D7A2B">
      <w:pPr>
        <w:pStyle w:val="Notedebasdepage"/>
        <w:rPr>
          <w:sz w:val="16"/>
          <w:szCs w:val="16"/>
        </w:rPr>
      </w:pPr>
      <w:r w:rsidRPr="0063661A">
        <w:rPr>
          <w:rStyle w:val="Appelnotedebasdep"/>
          <w:sz w:val="16"/>
          <w:szCs w:val="16"/>
        </w:rPr>
        <w:footnoteRef/>
      </w:r>
      <w:r w:rsidRPr="0063661A">
        <w:rPr>
          <w:sz w:val="16"/>
          <w:szCs w:val="16"/>
        </w:rPr>
        <w:t xml:space="preserve"> Biscuit</w:t>
      </w:r>
      <w:r>
        <w:rPr>
          <w:sz w:val="16"/>
          <w:szCs w:val="16"/>
        </w:rPr>
        <w:t>.</w:t>
      </w:r>
    </w:p>
  </w:footnote>
  <w:footnote w:id="12">
    <w:p w:rsidR="004D7A2B" w:rsidRPr="0063661A" w:rsidRDefault="004D7A2B" w:rsidP="004D7A2B">
      <w:pPr>
        <w:pStyle w:val="Notedebasdepage"/>
        <w:rPr>
          <w:sz w:val="16"/>
          <w:szCs w:val="16"/>
        </w:rPr>
      </w:pPr>
      <w:r w:rsidRPr="0063661A">
        <w:rPr>
          <w:rStyle w:val="Appelnotedebasdep"/>
          <w:sz w:val="16"/>
          <w:szCs w:val="16"/>
        </w:rPr>
        <w:footnoteRef/>
      </w:r>
      <w:r w:rsidRPr="0063661A">
        <w:rPr>
          <w:sz w:val="16"/>
          <w:szCs w:val="16"/>
        </w:rPr>
        <w:t xml:space="preserve"> Envoyer balader</w:t>
      </w:r>
      <w:r>
        <w:rPr>
          <w:sz w:val="16"/>
          <w:szCs w:val="16"/>
        </w:rPr>
        <w:t>.</w:t>
      </w:r>
    </w:p>
  </w:footnote>
  <w:footnote w:id="13">
    <w:p w:rsidR="00AC1D95" w:rsidRPr="009C48AE" w:rsidRDefault="004D7A2B" w:rsidP="004D7A2B">
      <w:pPr>
        <w:pStyle w:val="Notedebasdepage"/>
        <w:rPr>
          <w:sz w:val="16"/>
          <w:szCs w:val="16"/>
        </w:rPr>
      </w:pPr>
      <w:r w:rsidRPr="009C48AE">
        <w:rPr>
          <w:rStyle w:val="Appelnotedebasdep"/>
          <w:sz w:val="16"/>
          <w:szCs w:val="16"/>
        </w:rPr>
        <w:footnoteRef/>
      </w:r>
      <w:r w:rsidRPr="009C48AE">
        <w:rPr>
          <w:sz w:val="16"/>
          <w:szCs w:val="16"/>
        </w:rPr>
        <w:t xml:space="preserve"> Adv. Parfois.</w:t>
      </w:r>
    </w:p>
  </w:footnote>
  <w:footnote w:id="14">
    <w:p w:rsidR="004D7A2B" w:rsidRPr="009C48AE" w:rsidRDefault="004D7A2B" w:rsidP="004D7A2B">
      <w:pPr>
        <w:pStyle w:val="Notedebasdepage"/>
        <w:rPr>
          <w:sz w:val="16"/>
          <w:szCs w:val="16"/>
        </w:rPr>
      </w:pPr>
      <w:r w:rsidRPr="009C48AE">
        <w:rPr>
          <w:rStyle w:val="Appelnotedebasdep"/>
          <w:sz w:val="16"/>
          <w:szCs w:val="16"/>
        </w:rPr>
        <w:footnoteRef/>
      </w:r>
      <w:r w:rsidRPr="009C48AE">
        <w:rPr>
          <w:sz w:val="16"/>
          <w:szCs w:val="16"/>
        </w:rPr>
        <w:t xml:space="preserve"> Se promener sans but précis.</w:t>
      </w:r>
    </w:p>
  </w:footnote>
  <w:footnote w:id="15">
    <w:p w:rsidR="007B1D45" w:rsidRPr="0063661A" w:rsidRDefault="007B1D45" w:rsidP="007B1D45">
      <w:pPr>
        <w:pStyle w:val="Notedebasdepage"/>
        <w:rPr>
          <w:sz w:val="16"/>
          <w:szCs w:val="16"/>
        </w:rPr>
      </w:pPr>
      <w:r w:rsidRPr="0063661A">
        <w:rPr>
          <w:rStyle w:val="Appelnotedebasdep"/>
          <w:sz w:val="16"/>
          <w:szCs w:val="16"/>
        </w:rPr>
        <w:footnoteRef/>
      </w:r>
      <w:r w:rsidRPr="0063661A">
        <w:rPr>
          <w:sz w:val="16"/>
          <w:szCs w:val="16"/>
        </w:rPr>
        <w:t xml:space="preserve"> Bavarder.</w:t>
      </w:r>
    </w:p>
  </w:footnote>
  <w:footnote w:id="16">
    <w:p w:rsidR="007B1D45" w:rsidRPr="0063661A" w:rsidRDefault="007B1D45" w:rsidP="007B1D45">
      <w:pPr>
        <w:pStyle w:val="Notedebasdepage"/>
        <w:rPr>
          <w:sz w:val="16"/>
          <w:szCs w:val="16"/>
        </w:rPr>
      </w:pPr>
      <w:r w:rsidRPr="0063661A">
        <w:rPr>
          <w:rStyle w:val="Appelnotedebasdep"/>
          <w:sz w:val="16"/>
          <w:szCs w:val="16"/>
        </w:rPr>
        <w:footnoteRef/>
      </w:r>
      <w:r w:rsidRPr="0063661A">
        <w:rPr>
          <w:sz w:val="16"/>
          <w:szCs w:val="16"/>
        </w:rPr>
        <w:t xml:space="preserve"> Viande maigre de porc</w:t>
      </w:r>
      <w:r>
        <w:rPr>
          <w:sz w:val="16"/>
          <w:szCs w:val="16"/>
        </w:rPr>
        <w:t>.</w:t>
      </w:r>
    </w:p>
  </w:footnote>
  <w:footnote w:id="17">
    <w:p w:rsidR="007B1D45" w:rsidRPr="0063661A" w:rsidRDefault="007B1D45" w:rsidP="007B1D45">
      <w:pPr>
        <w:pStyle w:val="Notedebasdepage"/>
        <w:rPr>
          <w:sz w:val="16"/>
          <w:szCs w:val="16"/>
        </w:rPr>
      </w:pPr>
      <w:r w:rsidRPr="0063661A">
        <w:rPr>
          <w:rStyle w:val="Appelnotedebasdep"/>
          <w:sz w:val="16"/>
          <w:szCs w:val="16"/>
        </w:rPr>
        <w:footnoteRef/>
      </w:r>
      <w:r w:rsidRPr="0063661A">
        <w:rPr>
          <w:sz w:val="16"/>
          <w:szCs w:val="16"/>
        </w:rPr>
        <w:t xml:space="preserve"> Appellation affective d’un enfant</w:t>
      </w:r>
      <w:r>
        <w:rPr>
          <w:sz w:val="16"/>
          <w:szCs w:val="16"/>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Pr>
  <w:endnotePr>
    <w:endnote w:id="0"/>
    <w:endnote w:id="1"/>
  </w:endnotePr>
  <w:compat/>
  <w:rsids>
    <w:rsidRoot w:val="0005253A"/>
    <w:rsid w:val="0005253A"/>
    <w:rsid w:val="0008362B"/>
    <w:rsid w:val="00090265"/>
    <w:rsid w:val="00181B14"/>
    <w:rsid w:val="0018457E"/>
    <w:rsid w:val="001D215D"/>
    <w:rsid w:val="002501E8"/>
    <w:rsid w:val="002601F4"/>
    <w:rsid w:val="002951A9"/>
    <w:rsid w:val="002D2A4F"/>
    <w:rsid w:val="002E5C09"/>
    <w:rsid w:val="0030784D"/>
    <w:rsid w:val="00351E54"/>
    <w:rsid w:val="00386AF1"/>
    <w:rsid w:val="00415A67"/>
    <w:rsid w:val="00424566"/>
    <w:rsid w:val="004A0029"/>
    <w:rsid w:val="004D0BA6"/>
    <w:rsid w:val="004D7A2B"/>
    <w:rsid w:val="0057135C"/>
    <w:rsid w:val="00571CFC"/>
    <w:rsid w:val="005B731C"/>
    <w:rsid w:val="005D76FD"/>
    <w:rsid w:val="0063661A"/>
    <w:rsid w:val="00680989"/>
    <w:rsid w:val="007152C7"/>
    <w:rsid w:val="00722B39"/>
    <w:rsid w:val="00757C60"/>
    <w:rsid w:val="00791459"/>
    <w:rsid w:val="007B1D45"/>
    <w:rsid w:val="007F3D1C"/>
    <w:rsid w:val="0081225D"/>
    <w:rsid w:val="00812D3E"/>
    <w:rsid w:val="009B451B"/>
    <w:rsid w:val="009C48AE"/>
    <w:rsid w:val="00A239BC"/>
    <w:rsid w:val="00AC1D95"/>
    <w:rsid w:val="00B36AB9"/>
    <w:rsid w:val="00B70B56"/>
    <w:rsid w:val="00BF4729"/>
    <w:rsid w:val="00C21B89"/>
    <w:rsid w:val="00CB6BC8"/>
    <w:rsid w:val="00DE0B47"/>
    <w:rsid w:val="00DE3B70"/>
    <w:rsid w:val="00E27A95"/>
    <w:rsid w:val="00E34021"/>
    <w:rsid w:val="00E56C8C"/>
    <w:rsid w:val="00E63EF6"/>
    <w:rsid w:val="00E96482"/>
    <w:rsid w:val="00EB5B7A"/>
    <w:rsid w:val="00FD62B8"/>
    <w:rsid w:val="00FD764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E54"/>
    <w:rPr>
      <w:rFonts w:ascii="Arial" w:hAnsi="Arial"/>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351E54"/>
    <w:pPr>
      <w:spacing w:after="0" w:line="240" w:lineRule="auto"/>
    </w:pPr>
    <w:rPr>
      <w:rFonts w:ascii="Arial" w:hAnsi="Arial"/>
      <w:sz w:val="28"/>
    </w:rPr>
  </w:style>
  <w:style w:type="paragraph" w:styleId="Notedebasdepage">
    <w:name w:val="footnote text"/>
    <w:basedOn w:val="Normal"/>
    <w:link w:val="NotedebasdepageCar"/>
    <w:uiPriority w:val="99"/>
    <w:semiHidden/>
    <w:unhideWhenUsed/>
    <w:rsid w:val="002951A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951A9"/>
    <w:rPr>
      <w:rFonts w:ascii="Arial" w:hAnsi="Arial"/>
      <w:sz w:val="20"/>
      <w:szCs w:val="20"/>
    </w:rPr>
  </w:style>
  <w:style w:type="character" w:styleId="Appelnotedebasdep">
    <w:name w:val="footnote reference"/>
    <w:basedOn w:val="Policepardfaut"/>
    <w:uiPriority w:val="99"/>
    <w:semiHidden/>
    <w:unhideWhenUsed/>
    <w:rsid w:val="002951A9"/>
    <w:rPr>
      <w:vertAlign w:val="superscript"/>
    </w:rPr>
  </w:style>
  <w:style w:type="paragraph" w:styleId="En-tte">
    <w:name w:val="header"/>
    <w:basedOn w:val="Normal"/>
    <w:link w:val="En-tteCar"/>
    <w:uiPriority w:val="99"/>
    <w:semiHidden/>
    <w:unhideWhenUsed/>
    <w:rsid w:val="00722B3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22B39"/>
    <w:rPr>
      <w:rFonts w:ascii="Arial" w:hAnsi="Arial"/>
      <w:sz w:val="28"/>
    </w:rPr>
  </w:style>
  <w:style w:type="paragraph" w:styleId="Pieddepage">
    <w:name w:val="footer"/>
    <w:basedOn w:val="Normal"/>
    <w:link w:val="PieddepageCar"/>
    <w:uiPriority w:val="99"/>
    <w:semiHidden/>
    <w:unhideWhenUsed/>
    <w:rsid w:val="00722B3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22B39"/>
    <w:rPr>
      <w:rFonts w:ascii="Arial" w:hAnsi="Arial"/>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758A4-D8BD-4124-BA2A-1DF23578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272</Words>
  <Characters>1497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nellie</dc:creator>
  <cp:lastModifiedBy>nellie</cp:lastModifiedBy>
  <cp:revision>2</cp:revision>
  <dcterms:created xsi:type="dcterms:W3CDTF">2017-10-12T23:10:00Z</dcterms:created>
  <dcterms:modified xsi:type="dcterms:W3CDTF">2017-10-12T23:10:00Z</dcterms:modified>
</cp:coreProperties>
</file>