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B5" w:rsidRDefault="0002558E" w:rsidP="009F1BB5">
      <w:pPr>
        <w:spacing w:after="120"/>
        <w:rPr>
          <w:rFonts w:ascii="Times New Roman" w:hAnsi="Times New Roman" w:cs="Times New Roman"/>
          <w:sz w:val="24"/>
          <w:szCs w:val="24"/>
        </w:rPr>
      </w:pPr>
      <w:r w:rsidRPr="009F1BB5">
        <w:rPr>
          <w:rFonts w:ascii="Times New Roman" w:hAnsi="Times New Roman" w:cs="Times New Roman"/>
          <w:sz w:val="24"/>
          <w:szCs w:val="24"/>
        </w:rPr>
        <w:t>Christine Jacquet-Pfa</w:t>
      </w:r>
      <w:r w:rsidR="00037E74" w:rsidRPr="009F1BB5">
        <w:rPr>
          <w:rFonts w:ascii="Times New Roman" w:hAnsi="Times New Roman" w:cs="Times New Roman"/>
          <w:sz w:val="24"/>
          <w:szCs w:val="24"/>
        </w:rPr>
        <w:t>u</w:t>
      </w:r>
    </w:p>
    <w:p w:rsidR="000A58B3" w:rsidRPr="009F1BB5" w:rsidRDefault="009F1BB5" w:rsidP="009F1BB5">
      <w:pPr>
        <w:spacing w:after="120"/>
        <w:rPr>
          <w:rFonts w:ascii="Times New Roman" w:hAnsi="Times New Roman" w:cs="Times New Roman"/>
          <w:sz w:val="24"/>
          <w:szCs w:val="24"/>
        </w:rPr>
      </w:pPr>
      <w:r>
        <w:rPr>
          <w:rFonts w:ascii="Times New Roman" w:hAnsi="Times New Roman" w:cs="Times New Roman"/>
          <w:sz w:val="24"/>
          <w:szCs w:val="24"/>
        </w:rPr>
        <w:t>LDI</w:t>
      </w:r>
      <w:r w:rsidR="00307E51">
        <w:rPr>
          <w:rFonts w:ascii="Times New Roman" w:hAnsi="Times New Roman" w:cs="Times New Roman"/>
          <w:sz w:val="24"/>
          <w:szCs w:val="24"/>
        </w:rPr>
        <w:t xml:space="preserve"> (</w:t>
      </w:r>
      <w:r>
        <w:rPr>
          <w:rFonts w:ascii="Times New Roman" w:hAnsi="Times New Roman" w:cs="Times New Roman"/>
          <w:sz w:val="24"/>
          <w:szCs w:val="24"/>
        </w:rPr>
        <w:t>« Lexiques, Dictionnaires, Informatique »</w:t>
      </w:r>
      <w:r w:rsidR="00307E51">
        <w:rPr>
          <w:rFonts w:ascii="Times New Roman" w:hAnsi="Times New Roman" w:cs="Times New Roman"/>
          <w:sz w:val="24"/>
          <w:szCs w:val="24"/>
        </w:rPr>
        <w:t>)</w:t>
      </w:r>
      <w:r>
        <w:rPr>
          <w:rFonts w:ascii="Times New Roman" w:hAnsi="Times New Roman" w:cs="Times New Roman"/>
          <w:sz w:val="24"/>
          <w:szCs w:val="24"/>
        </w:rPr>
        <w:t>, Université de Cergy-Pontoise</w:t>
      </w:r>
    </w:p>
    <w:p w:rsidR="009F1BB5" w:rsidRDefault="009F1BB5" w:rsidP="009F1BB5">
      <w:pPr>
        <w:spacing w:after="120"/>
        <w:rPr>
          <w:rFonts w:ascii="Times New Roman" w:hAnsi="Times New Roman" w:cs="Times New Roman"/>
          <w:sz w:val="24"/>
          <w:szCs w:val="24"/>
        </w:rPr>
      </w:pPr>
      <w:proofErr w:type="gramStart"/>
      <w:r>
        <w:rPr>
          <w:rFonts w:ascii="Times New Roman" w:hAnsi="Times New Roman" w:cs="Times New Roman"/>
          <w:sz w:val="24"/>
          <w:szCs w:val="24"/>
        </w:rPr>
        <w:t>et</w:t>
      </w:r>
      <w:proofErr w:type="gramEnd"/>
    </w:p>
    <w:p w:rsidR="009F1BB5" w:rsidRDefault="0002558E" w:rsidP="009F1BB5">
      <w:pPr>
        <w:spacing w:after="120"/>
        <w:rPr>
          <w:rFonts w:ascii="Times New Roman" w:hAnsi="Times New Roman" w:cs="Times New Roman"/>
          <w:sz w:val="24"/>
          <w:szCs w:val="24"/>
        </w:rPr>
      </w:pPr>
      <w:r w:rsidRPr="009F1BB5">
        <w:rPr>
          <w:rFonts w:ascii="Times New Roman" w:hAnsi="Times New Roman" w:cs="Times New Roman"/>
          <w:sz w:val="24"/>
          <w:szCs w:val="24"/>
        </w:rPr>
        <w:t>Alicja Kacprzak</w:t>
      </w:r>
    </w:p>
    <w:p w:rsidR="009F1BB5" w:rsidRDefault="009F1BB5" w:rsidP="009F1BB5">
      <w:pPr>
        <w:spacing w:after="120"/>
        <w:rPr>
          <w:rFonts w:ascii="Times New Roman" w:hAnsi="Times New Roman" w:cs="Times New Roman"/>
          <w:sz w:val="24"/>
          <w:szCs w:val="24"/>
          <w:shd w:val="clear" w:color="auto" w:fill="FFFFFF"/>
        </w:rPr>
      </w:pPr>
      <w:r w:rsidRPr="009F1BB5">
        <w:rPr>
          <w:rFonts w:ascii="Times New Roman" w:hAnsi="Times New Roman" w:cs="Times New Roman"/>
          <w:sz w:val="24"/>
          <w:szCs w:val="24"/>
        </w:rPr>
        <w:t>Université de</w:t>
      </w:r>
      <w:r w:rsidRPr="009F1BB5">
        <w:rPr>
          <w:rFonts w:ascii="Times New Roman" w:hAnsi="Times New Roman" w:cs="Times New Roman"/>
          <w:sz w:val="24"/>
          <w:szCs w:val="24"/>
          <w:shd w:val="clear" w:color="auto" w:fill="FFFFFF"/>
        </w:rPr>
        <w:t xml:space="preserve"> Łódź (Pologne)</w:t>
      </w:r>
    </w:p>
    <w:p w:rsidR="00541ACC" w:rsidRDefault="00541ACC" w:rsidP="009F1BB5">
      <w:pPr>
        <w:spacing w:after="120"/>
        <w:rPr>
          <w:rFonts w:ascii="Times New Roman" w:hAnsi="Times New Roman" w:cs="Times New Roman"/>
          <w:sz w:val="24"/>
          <w:szCs w:val="24"/>
          <w:shd w:val="clear" w:color="auto" w:fill="FFFFFF"/>
        </w:rPr>
      </w:pPr>
    </w:p>
    <w:p w:rsidR="00541ACC" w:rsidRPr="009F1BB5" w:rsidRDefault="00541ACC" w:rsidP="009F1BB5">
      <w:pPr>
        <w:spacing w:after="120"/>
        <w:rPr>
          <w:rFonts w:ascii="Times New Roman" w:hAnsi="Times New Roman" w:cs="Times New Roman"/>
          <w:sz w:val="24"/>
          <w:szCs w:val="24"/>
        </w:rPr>
      </w:pPr>
    </w:p>
    <w:p w:rsidR="0002558E" w:rsidRPr="000A58B3" w:rsidRDefault="00014CB0" w:rsidP="003D4C7A">
      <w:pPr>
        <w:jc w:val="center"/>
        <w:rPr>
          <w:rFonts w:ascii="Times New Roman" w:hAnsi="Times New Roman" w:cs="Times New Roman"/>
          <w:sz w:val="24"/>
          <w:szCs w:val="24"/>
        </w:rPr>
      </w:pPr>
      <w:r w:rsidRPr="000A58B3">
        <w:rPr>
          <w:rFonts w:ascii="Times New Roman" w:hAnsi="Times New Roman" w:cs="Times New Roman"/>
          <w:sz w:val="24"/>
          <w:szCs w:val="24"/>
        </w:rPr>
        <w:t>« </w:t>
      </w:r>
      <w:r w:rsidR="003D4C7A" w:rsidRPr="000A58B3">
        <w:rPr>
          <w:rFonts w:ascii="Times New Roman" w:hAnsi="Times New Roman" w:cs="Times New Roman"/>
          <w:sz w:val="24"/>
          <w:szCs w:val="24"/>
        </w:rPr>
        <w:t>De nouvelles tribus néologiques</w:t>
      </w:r>
    </w:p>
    <w:p w:rsidR="003D4C7A" w:rsidRPr="000A58B3" w:rsidRDefault="003D4C7A" w:rsidP="003D4C7A">
      <w:pPr>
        <w:jc w:val="center"/>
        <w:rPr>
          <w:rFonts w:ascii="Times New Roman" w:hAnsi="Times New Roman" w:cs="Times New Roman"/>
          <w:sz w:val="24"/>
          <w:szCs w:val="24"/>
        </w:rPr>
      </w:pPr>
      <w:proofErr w:type="gramStart"/>
      <w:r w:rsidRPr="000A58B3">
        <w:rPr>
          <w:rFonts w:ascii="Times New Roman" w:hAnsi="Times New Roman" w:cs="Times New Roman"/>
          <w:sz w:val="24"/>
          <w:szCs w:val="24"/>
        </w:rPr>
        <w:t>ou</w:t>
      </w:r>
      <w:proofErr w:type="gramEnd"/>
      <w:r w:rsidRPr="000A58B3">
        <w:rPr>
          <w:rFonts w:ascii="Times New Roman" w:hAnsi="Times New Roman" w:cs="Times New Roman"/>
          <w:sz w:val="24"/>
          <w:szCs w:val="24"/>
        </w:rPr>
        <w:t xml:space="preserve"> Comment de nouvelles dénominations esquissent une cartographie sociétale</w:t>
      </w:r>
      <w:r w:rsidR="00014CB0" w:rsidRPr="000A58B3">
        <w:rPr>
          <w:rFonts w:ascii="Times New Roman" w:hAnsi="Times New Roman" w:cs="Times New Roman"/>
          <w:sz w:val="24"/>
          <w:szCs w:val="24"/>
        </w:rPr>
        <w:t> »</w:t>
      </w:r>
    </w:p>
    <w:p w:rsidR="003D4C7A" w:rsidRPr="000A58B3" w:rsidRDefault="003D4C7A" w:rsidP="003D4C7A">
      <w:pPr>
        <w:jc w:val="center"/>
        <w:rPr>
          <w:rFonts w:ascii="Times New Roman" w:hAnsi="Times New Roman" w:cs="Times New Roman"/>
          <w:sz w:val="24"/>
          <w:szCs w:val="24"/>
        </w:rPr>
      </w:pPr>
    </w:p>
    <w:p w:rsidR="0002558E" w:rsidRPr="000A58B3" w:rsidRDefault="00D05FA5" w:rsidP="0002558E">
      <w:pPr>
        <w:jc w:val="both"/>
        <w:rPr>
          <w:rFonts w:ascii="Times New Roman" w:hAnsi="Times New Roman" w:cs="Times New Roman"/>
          <w:sz w:val="24"/>
          <w:szCs w:val="24"/>
        </w:rPr>
      </w:pPr>
      <w:r>
        <w:rPr>
          <w:rFonts w:ascii="Times New Roman" w:hAnsi="Times New Roman" w:cs="Times New Roman"/>
          <w:sz w:val="24"/>
          <w:szCs w:val="24"/>
        </w:rPr>
        <w:t xml:space="preserve">On </w:t>
      </w:r>
      <w:r w:rsidR="0002558E" w:rsidRPr="000A58B3">
        <w:rPr>
          <w:rFonts w:ascii="Times New Roman" w:hAnsi="Times New Roman" w:cs="Times New Roman"/>
          <w:sz w:val="24"/>
          <w:szCs w:val="24"/>
        </w:rPr>
        <w:t>assist</w:t>
      </w:r>
      <w:r>
        <w:rPr>
          <w:rFonts w:ascii="Times New Roman" w:hAnsi="Times New Roman" w:cs="Times New Roman"/>
          <w:sz w:val="24"/>
          <w:szCs w:val="24"/>
        </w:rPr>
        <w:t>e</w:t>
      </w:r>
      <w:r w:rsidR="0002558E" w:rsidRPr="000A58B3">
        <w:rPr>
          <w:rFonts w:ascii="Times New Roman" w:hAnsi="Times New Roman" w:cs="Times New Roman"/>
          <w:sz w:val="24"/>
          <w:szCs w:val="24"/>
        </w:rPr>
        <w:t xml:space="preserve">, depuis quelques années, à la multiplication des dénominations de certaines classes de la société, non </w:t>
      </w:r>
      <w:r w:rsidR="00033266" w:rsidRPr="000A58B3">
        <w:rPr>
          <w:rFonts w:ascii="Times New Roman" w:hAnsi="Times New Roman" w:cs="Times New Roman"/>
          <w:sz w:val="24"/>
          <w:szCs w:val="24"/>
        </w:rPr>
        <w:t xml:space="preserve">tant </w:t>
      </w:r>
      <w:r w:rsidR="0002558E" w:rsidRPr="000A58B3">
        <w:rPr>
          <w:rFonts w:ascii="Times New Roman" w:hAnsi="Times New Roman" w:cs="Times New Roman"/>
          <w:sz w:val="24"/>
          <w:szCs w:val="24"/>
        </w:rPr>
        <w:t>en fonction de leur appartena</w:t>
      </w:r>
      <w:r w:rsidR="00DB5D0E" w:rsidRPr="000A58B3">
        <w:rPr>
          <w:rFonts w:ascii="Times New Roman" w:hAnsi="Times New Roman" w:cs="Times New Roman"/>
          <w:sz w:val="24"/>
          <w:szCs w:val="24"/>
        </w:rPr>
        <w:t>nce sociale ou économique</w:t>
      </w:r>
      <w:r w:rsidR="000458A5" w:rsidRPr="000A58B3">
        <w:rPr>
          <w:rFonts w:ascii="Times New Roman" w:hAnsi="Times New Roman" w:cs="Times New Roman"/>
          <w:sz w:val="24"/>
          <w:szCs w:val="24"/>
        </w:rPr>
        <w:t xml:space="preserve"> que</w:t>
      </w:r>
      <w:r w:rsidR="00DB5D0E" w:rsidRPr="000A58B3">
        <w:rPr>
          <w:rFonts w:ascii="Times New Roman" w:hAnsi="Times New Roman" w:cs="Times New Roman"/>
          <w:sz w:val="24"/>
          <w:szCs w:val="24"/>
        </w:rPr>
        <w:t xml:space="preserve"> de</w:t>
      </w:r>
      <w:r w:rsidR="0002558E" w:rsidRPr="000A58B3">
        <w:rPr>
          <w:rFonts w:ascii="Times New Roman" w:hAnsi="Times New Roman" w:cs="Times New Roman"/>
          <w:sz w:val="24"/>
          <w:szCs w:val="24"/>
        </w:rPr>
        <w:t xml:space="preserve"> leur </w:t>
      </w:r>
      <w:r w:rsidR="00AC383B" w:rsidRPr="000A58B3">
        <w:rPr>
          <w:rFonts w:ascii="Times New Roman" w:hAnsi="Times New Roman" w:cs="Times New Roman"/>
          <w:sz w:val="24"/>
          <w:szCs w:val="24"/>
        </w:rPr>
        <w:t>style</w:t>
      </w:r>
      <w:r w:rsidR="0002558E" w:rsidRPr="000A58B3">
        <w:rPr>
          <w:rFonts w:ascii="Times New Roman" w:hAnsi="Times New Roman" w:cs="Times New Roman"/>
          <w:sz w:val="24"/>
          <w:szCs w:val="24"/>
        </w:rPr>
        <w:t xml:space="preserve"> de vie</w:t>
      </w:r>
      <w:r w:rsidR="00AC383B" w:rsidRPr="000A58B3">
        <w:rPr>
          <w:rFonts w:ascii="Times New Roman" w:hAnsi="Times New Roman" w:cs="Times New Roman"/>
          <w:sz w:val="24"/>
          <w:szCs w:val="24"/>
        </w:rPr>
        <w:t>, culturel</w:t>
      </w:r>
      <w:r w:rsidR="004A5414" w:rsidRPr="000A58B3">
        <w:rPr>
          <w:rFonts w:ascii="Times New Roman" w:hAnsi="Times New Roman" w:cs="Times New Roman"/>
          <w:sz w:val="24"/>
          <w:szCs w:val="24"/>
        </w:rPr>
        <w:t xml:space="preserve">, </w:t>
      </w:r>
      <w:r w:rsidR="000458A5" w:rsidRPr="000A58B3">
        <w:rPr>
          <w:rFonts w:ascii="Times New Roman" w:hAnsi="Times New Roman" w:cs="Times New Roman"/>
          <w:sz w:val="24"/>
          <w:szCs w:val="24"/>
        </w:rPr>
        <w:t>vestimentaire</w:t>
      </w:r>
      <w:r w:rsidR="00AC383B" w:rsidRPr="000A58B3">
        <w:rPr>
          <w:rFonts w:ascii="Times New Roman" w:hAnsi="Times New Roman" w:cs="Times New Roman"/>
          <w:sz w:val="24"/>
          <w:szCs w:val="24"/>
        </w:rPr>
        <w:t>, idéologique, etc</w:t>
      </w:r>
      <w:r w:rsidR="0002558E" w:rsidRPr="000A58B3">
        <w:rPr>
          <w:rFonts w:ascii="Times New Roman" w:hAnsi="Times New Roman" w:cs="Times New Roman"/>
          <w:sz w:val="24"/>
          <w:szCs w:val="24"/>
        </w:rPr>
        <w:t xml:space="preserve">. </w:t>
      </w:r>
      <w:r w:rsidR="000458A5" w:rsidRPr="000A58B3">
        <w:rPr>
          <w:rFonts w:ascii="Times New Roman" w:hAnsi="Times New Roman" w:cs="Times New Roman"/>
          <w:sz w:val="24"/>
          <w:szCs w:val="24"/>
        </w:rPr>
        <w:t>Ce phénomène</w:t>
      </w:r>
      <w:r w:rsidR="0002558E" w:rsidRPr="000A58B3">
        <w:rPr>
          <w:rFonts w:ascii="Times New Roman" w:hAnsi="Times New Roman" w:cs="Times New Roman"/>
          <w:sz w:val="24"/>
          <w:szCs w:val="24"/>
        </w:rPr>
        <w:t xml:space="preserve"> </w:t>
      </w:r>
      <w:r w:rsidR="000458A5" w:rsidRPr="000A58B3">
        <w:rPr>
          <w:rFonts w:ascii="Times New Roman" w:hAnsi="Times New Roman" w:cs="Times New Roman"/>
          <w:sz w:val="24"/>
          <w:szCs w:val="24"/>
        </w:rPr>
        <w:t>apparaît comme fortement lié à</w:t>
      </w:r>
      <w:r w:rsidR="0002558E" w:rsidRPr="000A58B3">
        <w:rPr>
          <w:rFonts w:ascii="Times New Roman" w:hAnsi="Times New Roman" w:cs="Times New Roman"/>
          <w:sz w:val="24"/>
          <w:szCs w:val="24"/>
        </w:rPr>
        <w:t xml:space="preserve"> </w:t>
      </w:r>
      <w:r w:rsidR="001D1590" w:rsidRPr="000A58B3">
        <w:rPr>
          <w:rFonts w:ascii="Times New Roman" w:hAnsi="Times New Roman" w:cs="Times New Roman"/>
          <w:sz w:val="24"/>
          <w:szCs w:val="24"/>
        </w:rPr>
        <w:t xml:space="preserve">un effet de mode qui incite </w:t>
      </w:r>
      <w:r w:rsidR="000458A5" w:rsidRPr="000A58B3">
        <w:rPr>
          <w:rFonts w:ascii="Times New Roman" w:hAnsi="Times New Roman" w:cs="Times New Roman"/>
          <w:sz w:val="24"/>
          <w:szCs w:val="24"/>
        </w:rPr>
        <w:t xml:space="preserve">ces </w:t>
      </w:r>
      <w:r w:rsidR="0002558E" w:rsidRPr="000A58B3">
        <w:rPr>
          <w:rFonts w:ascii="Times New Roman" w:hAnsi="Times New Roman" w:cs="Times New Roman"/>
          <w:sz w:val="24"/>
          <w:szCs w:val="24"/>
        </w:rPr>
        <w:t>différents groupes à se singulariser et</w:t>
      </w:r>
      <w:r w:rsidR="000458A5" w:rsidRPr="000A58B3">
        <w:rPr>
          <w:rFonts w:ascii="Times New Roman" w:hAnsi="Times New Roman" w:cs="Times New Roman"/>
          <w:sz w:val="24"/>
          <w:szCs w:val="24"/>
        </w:rPr>
        <w:t>, pour ce faire,</w:t>
      </w:r>
      <w:r w:rsidR="0002558E" w:rsidRPr="000A58B3">
        <w:rPr>
          <w:rFonts w:ascii="Times New Roman" w:hAnsi="Times New Roman" w:cs="Times New Roman"/>
          <w:sz w:val="24"/>
          <w:szCs w:val="24"/>
        </w:rPr>
        <w:t xml:space="preserve"> à renouveler très rapidement </w:t>
      </w:r>
      <w:r w:rsidR="00DB5D0E" w:rsidRPr="000A58B3">
        <w:rPr>
          <w:rFonts w:ascii="Times New Roman" w:hAnsi="Times New Roman" w:cs="Times New Roman"/>
          <w:sz w:val="24"/>
          <w:szCs w:val="24"/>
        </w:rPr>
        <w:t>leurs particularités pour rester originaux, « néologiques » en quelque sorte</w:t>
      </w:r>
      <w:r w:rsidR="0002558E" w:rsidRPr="000A58B3">
        <w:rPr>
          <w:rFonts w:ascii="Times New Roman" w:hAnsi="Times New Roman" w:cs="Times New Roman"/>
          <w:sz w:val="24"/>
          <w:szCs w:val="24"/>
        </w:rPr>
        <w:t xml:space="preserve">. Les néologismes </w:t>
      </w:r>
      <w:r w:rsidR="00CE493F" w:rsidRPr="000A58B3">
        <w:rPr>
          <w:rFonts w:ascii="Times New Roman" w:hAnsi="Times New Roman" w:cs="Times New Roman"/>
          <w:sz w:val="24"/>
          <w:szCs w:val="24"/>
        </w:rPr>
        <w:t>que nous avons détectés puis suivis dans la presse</w:t>
      </w:r>
      <w:r w:rsidR="001D1590" w:rsidRPr="000A58B3">
        <w:rPr>
          <w:rFonts w:ascii="Times New Roman" w:hAnsi="Times New Roman" w:cs="Times New Roman"/>
          <w:sz w:val="24"/>
          <w:szCs w:val="24"/>
        </w:rPr>
        <w:t xml:space="preserve"> (</w:t>
      </w:r>
      <w:r w:rsidR="001D1590" w:rsidRPr="000A58B3">
        <w:rPr>
          <w:rFonts w:ascii="Times New Roman" w:hAnsi="Times New Roman" w:cs="Times New Roman"/>
          <w:i/>
          <w:sz w:val="24"/>
          <w:szCs w:val="24"/>
        </w:rPr>
        <w:t xml:space="preserve">hipster, yuccie, </w:t>
      </w:r>
      <w:r w:rsidR="002377E6" w:rsidRPr="000A58B3">
        <w:rPr>
          <w:rFonts w:ascii="Times New Roman" w:hAnsi="Times New Roman" w:cs="Times New Roman"/>
          <w:i/>
          <w:color w:val="545454"/>
          <w:sz w:val="24"/>
          <w:szCs w:val="24"/>
          <w:shd w:val="clear" w:color="auto" w:fill="FFFFFF"/>
        </w:rPr>
        <w:t>normcore,</w:t>
      </w:r>
      <w:r w:rsidR="001D1590" w:rsidRPr="000A58B3">
        <w:rPr>
          <w:rFonts w:ascii="Times New Roman" w:hAnsi="Times New Roman" w:cs="Times New Roman"/>
          <w:i/>
          <w:color w:val="545454"/>
          <w:sz w:val="24"/>
          <w:szCs w:val="24"/>
          <w:shd w:val="clear" w:color="auto" w:fill="FFFFFF"/>
        </w:rPr>
        <w:t xml:space="preserve"> </w:t>
      </w:r>
      <w:r w:rsidR="001D1590" w:rsidRPr="000A58B3">
        <w:rPr>
          <w:rFonts w:ascii="Times New Roman" w:hAnsi="Times New Roman" w:cs="Times New Roman"/>
          <w:i/>
          <w:color w:val="2E3032"/>
          <w:sz w:val="24"/>
          <w:szCs w:val="24"/>
          <w:shd w:val="clear" w:color="auto" w:fill="FFFFFF"/>
        </w:rPr>
        <w:t>muppie, gyspset</w:t>
      </w:r>
      <w:r w:rsidR="00BA0DF2" w:rsidRPr="000A58B3">
        <w:rPr>
          <w:rFonts w:ascii="Times New Roman" w:hAnsi="Times New Roman" w:cs="Times New Roman"/>
          <w:i/>
          <w:color w:val="2E3032"/>
          <w:sz w:val="24"/>
          <w:szCs w:val="24"/>
          <w:shd w:val="clear" w:color="auto" w:fill="FFFFFF"/>
        </w:rPr>
        <w:t>, boubour</w:t>
      </w:r>
      <w:r w:rsidR="001D1590" w:rsidRPr="000A58B3">
        <w:rPr>
          <w:rFonts w:ascii="Times New Roman" w:hAnsi="Times New Roman" w:cs="Times New Roman"/>
          <w:color w:val="2E3032"/>
          <w:sz w:val="24"/>
          <w:szCs w:val="24"/>
          <w:shd w:val="clear" w:color="auto" w:fill="FFFFFF"/>
        </w:rPr>
        <w:t>…)</w:t>
      </w:r>
      <w:r w:rsidR="001D1590" w:rsidRPr="000A58B3">
        <w:rPr>
          <w:rFonts w:ascii="Times New Roman" w:hAnsi="Times New Roman" w:cs="Times New Roman"/>
          <w:sz w:val="24"/>
          <w:szCs w:val="24"/>
        </w:rPr>
        <w:t xml:space="preserve"> </w:t>
      </w:r>
      <w:r w:rsidR="000458A5" w:rsidRPr="000A58B3">
        <w:rPr>
          <w:rFonts w:ascii="Times New Roman" w:hAnsi="Times New Roman" w:cs="Times New Roman"/>
          <w:sz w:val="24"/>
          <w:szCs w:val="24"/>
        </w:rPr>
        <w:t xml:space="preserve">ont pour particularité </w:t>
      </w:r>
      <w:r w:rsidR="0002558E" w:rsidRPr="000A58B3">
        <w:rPr>
          <w:rFonts w:ascii="Times New Roman" w:hAnsi="Times New Roman" w:cs="Times New Roman"/>
          <w:sz w:val="24"/>
          <w:szCs w:val="24"/>
        </w:rPr>
        <w:t>non seulement</w:t>
      </w:r>
      <w:r w:rsidR="00CE493F" w:rsidRPr="000A58B3">
        <w:rPr>
          <w:rFonts w:ascii="Times New Roman" w:hAnsi="Times New Roman" w:cs="Times New Roman"/>
          <w:sz w:val="24"/>
          <w:szCs w:val="24"/>
        </w:rPr>
        <w:t xml:space="preserve"> </w:t>
      </w:r>
      <w:r w:rsidR="000458A5" w:rsidRPr="000A58B3">
        <w:rPr>
          <w:rFonts w:ascii="Times New Roman" w:hAnsi="Times New Roman" w:cs="Times New Roman"/>
          <w:sz w:val="24"/>
          <w:szCs w:val="24"/>
        </w:rPr>
        <w:t xml:space="preserve">de </w:t>
      </w:r>
      <w:r w:rsidR="00CE493F" w:rsidRPr="000A58B3">
        <w:rPr>
          <w:rFonts w:ascii="Times New Roman" w:hAnsi="Times New Roman" w:cs="Times New Roman"/>
          <w:sz w:val="24"/>
          <w:szCs w:val="24"/>
        </w:rPr>
        <w:t>désigne</w:t>
      </w:r>
      <w:r w:rsidR="000458A5" w:rsidRPr="000A58B3">
        <w:rPr>
          <w:rFonts w:ascii="Times New Roman" w:hAnsi="Times New Roman" w:cs="Times New Roman"/>
          <w:sz w:val="24"/>
          <w:szCs w:val="24"/>
        </w:rPr>
        <w:t>r</w:t>
      </w:r>
      <w:r w:rsidR="00CE493F" w:rsidRPr="000A58B3">
        <w:rPr>
          <w:rFonts w:ascii="Times New Roman" w:hAnsi="Times New Roman" w:cs="Times New Roman"/>
          <w:sz w:val="24"/>
          <w:szCs w:val="24"/>
        </w:rPr>
        <w:t xml:space="preserve"> de nouveaux groupes soci</w:t>
      </w:r>
      <w:r w:rsidR="003D4C7A" w:rsidRPr="000A58B3">
        <w:rPr>
          <w:rFonts w:ascii="Times New Roman" w:hAnsi="Times New Roman" w:cs="Times New Roman"/>
          <w:sz w:val="24"/>
          <w:szCs w:val="24"/>
        </w:rPr>
        <w:t>ét</w:t>
      </w:r>
      <w:r w:rsidR="00CE493F" w:rsidRPr="000A58B3">
        <w:rPr>
          <w:rFonts w:ascii="Times New Roman" w:hAnsi="Times New Roman" w:cs="Times New Roman"/>
          <w:sz w:val="24"/>
          <w:szCs w:val="24"/>
        </w:rPr>
        <w:t xml:space="preserve">aux mais </w:t>
      </w:r>
      <w:r w:rsidR="000458A5" w:rsidRPr="000A58B3">
        <w:rPr>
          <w:rFonts w:ascii="Times New Roman" w:hAnsi="Times New Roman" w:cs="Times New Roman"/>
          <w:sz w:val="24"/>
          <w:szCs w:val="24"/>
        </w:rPr>
        <w:t xml:space="preserve">de </w:t>
      </w:r>
      <w:r w:rsidR="00CE493F" w:rsidRPr="000A58B3">
        <w:rPr>
          <w:rFonts w:ascii="Times New Roman" w:hAnsi="Times New Roman" w:cs="Times New Roman"/>
          <w:sz w:val="24"/>
          <w:szCs w:val="24"/>
        </w:rPr>
        <w:t>contribue</w:t>
      </w:r>
      <w:r w:rsidR="000458A5" w:rsidRPr="000A58B3">
        <w:rPr>
          <w:rFonts w:ascii="Times New Roman" w:hAnsi="Times New Roman" w:cs="Times New Roman"/>
          <w:sz w:val="24"/>
          <w:szCs w:val="24"/>
        </w:rPr>
        <w:t>r</w:t>
      </w:r>
      <w:r w:rsidR="00CE493F" w:rsidRPr="000A58B3">
        <w:rPr>
          <w:rFonts w:ascii="Times New Roman" w:hAnsi="Times New Roman" w:cs="Times New Roman"/>
          <w:sz w:val="24"/>
          <w:szCs w:val="24"/>
        </w:rPr>
        <w:t xml:space="preserve"> </w:t>
      </w:r>
      <w:r w:rsidR="00DB5D0E" w:rsidRPr="000A58B3">
        <w:rPr>
          <w:rFonts w:ascii="Times New Roman" w:hAnsi="Times New Roman" w:cs="Times New Roman"/>
          <w:sz w:val="24"/>
          <w:szCs w:val="24"/>
        </w:rPr>
        <w:t>en même temps</w:t>
      </w:r>
      <w:r w:rsidR="00CE493F" w:rsidRPr="000A58B3">
        <w:rPr>
          <w:rFonts w:ascii="Times New Roman" w:hAnsi="Times New Roman" w:cs="Times New Roman"/>
          <w:sz w:val="24"/>
          <w:szCs w:val="24"/>
        </w:rPr>
        <w:t xml:space="preserve"> à </w:t>
      </w:r>
      <w:r w:rsidR="001D1590" w:rsidRPr="000A58B3">
        <w:rPr>
          <w:rFonts w:ascii="Times New Roman" w:hAnsi="Times New Roman" w:cs="Times New Roman"/>
          <w:sz w:val="24"/>
          <w:szCs w:val="24"/>
        </w:rPr>
        <w:t>leur création</w:t>
      </w:r>
      <w:r w:rsidR="00DB5D0E" w:rsidRPr="000A58B3">
        <w:rPr>
          <w:rFonts w:ascii="Times New Roman" w:hAnsi="Times New Roman" w:cs="Times New Roman"/>
          <w:sz w:val="24"/>
          <w:szCs w:val="24"/>
        </w:rPr>
        <w:t xml:space="preserve"> ou tout au moins à leur reconnaissance</w:t>
      </w:r>
      <w:r w:rsidR="001D1590" w:rsidRPr="000A58B3">
        <w:rPr>
          <w:rFonts w:ascii="Times New Roman" w:hAnsi="Times New Roman" w:cs="Times New Roman"/>
          <w:sz w:val="24"/>
          <w:szCs w:val="24"/>
        </w:rPr>
        <w:t>.</w:t>
      </w:r>
      <w:r w:rsidR="000458A5" w:rsidRPr="000A58B3">
        <w:rPr>
          <w:rFonts w:ascii="Times New Roman" w:hAnsi="Times New Roman" w:cs="Times New Roman"/>
          <w:sz w:val="24"/>
          <w:szCs w:val="24"/>
        </w:rPr>
        <w:t xml:space="preserve"> La dénomination néologique est ici à la fois un acte de création et de reconnaissance.</w:t>
      </w:r>
      <w:r w:rsidR="00BA0DF2" w:rsidRPr="000A58B3">
        <w:rPr>
          <w:rFonts w:ascii="Times New Roman" w:hAnsi="Times New Roman" w:cs="Times New Roman"/>
          <w:sz w:val="24"/>
          <w:szCs w:val="24"/>
        </w:rPr>
        <w:t xml:space="preserve"> Notons qu’il peut aussi être une nouvelle création pour actualiser une unité lexicale jugée hors d’usage ou trop marquée (ainsi </w:t>
      </w:r>
      <w:r w:rsidR="00BA0DF2" w:rsidRPr="000A58B3">
        <w:rPr>
          <w:rFonts w:ascii="Times New Roman" w:hAnsi="Times New Roman" w:cs="Times New Roman"/>
          <w:i/>
          <w:sz w:val="24"/>
          <w:szCs w:val="24"/>
        </w:rPr>
        <w:t>métrosexuel</w:t>
      </w:r>
      <w:r w:rsidR="00BA0DF2" w:rsidRPr="000A58B3">
        <w:rPr>
          <w:rFonts w:ascii="Times New Roman" w:hAnsi="Times New Roman" w:cs="Times New Roman"/>
          <w:sz w:val="24"/>
          <w:szCs w:val="24"/>
        </w:rPr>
        <w:t xml:space="preserve"> pourrait renvoyer à </w:t>
      </w:r>
      <w:r w:rsidR="00BA0DF2" w:rsidRPr="000A58B3">
        <w:rPr>
          <w:rFonts w:ascii="Times New Roman" w:hAnsi="Times New Roman" w:cs="Times New Roman"/>
          <w:i/>
          <w:sz w:val="24"/>
          <w:szCs w:val="24"/>
        </w:rPr>
        <w:t>minet</w:t>
      </w:r>
      <w:r w:rsidR="00BA0DF2" w:rsidRPr="000A58B3">
        <w:rPr>
          <w:rFonts w:ascii="Times New Roman" w:hAnsi="Times New Roman" w:cs="Times New Roman"/>
          <w:sz w:val="24"/>
          <w:szCs w:val="24"/>
        </w:rPr>
        <w:t xml:space="preserve"> (1966)).</w:t>
      </w:r>
    </w:p>
    <w:p w:rsidR="0054280A" w:rsidRPr="000A58B3" w:rsidRDefault="00CE493F" w:rsidP="0002558E">
      <w:pPr>
        <w:jc w:val="both"/>
        <w:rPr>
          <w:rFonts w:ascii="Times New Roman" w:hAnsi="Times New Roman" w:cs="Times New Roman"/>
          <w:sz w:val="24"/>
          <w:szCs w:val="24"/>
        </w:rPr>
      </w:pPr>
      <w:r w:rsidRPr="000A58B3">
        <w:rPr>
          <w:rFonts w:ascii="Times New Roman" w:hAnsi="Times New Roman" w:cs="Times New Roman"/>
          <w:sz w:val="24"/>
          <w:szCs w:val="24"/>
        </w:rPr>
        <w:t>Le plus souvent éphémères (</w:t>
      </w:r>
      <w:r w:rsidR="0053277E" w:rsidRPr="000A58B3">
        <w:rPr>
          <w:rFonts w:ascii="Times New Roman" w:hAnsi="Times New Roman" w:cs="Times New Roman"/>
          <w:sz w:val="24"/>
          <w:szCs w:val="24"/>
        </w:rPr>
        <w:t>peu d’entre e</w:t>
      </w:r>
      <w:r w:rsidR="001D1590" w:rsidRPr="000A58B3">
        <w:rPr>
          <w:rFonts w:ascii="Times New Roman" w:hAnsi="Times New Roman" w:cs="Times New Roman"/>
          <w:sz w:val="24"/>
          <w:szCs w:val="24"/>
        </w:rPr>
        <w:t>lles</w:t>
      </w:r>
      <w:r w:rsidR="0053277E" w:rsidRPr="000A58B3">
        <w:rPr>
          <w:rFonts w:ascii="Times New Roman" w:hAnsi="Times New Roman" w:cs="Times New Roman"/>
          <w:sz w:val="24"/>
          <w:szCs w:val="24"/>
        </w:rPr>
        <w:t xml:space="preserve"> entrent</w:t>
      </w:r>
      <w:r w:rsidRPr="000A58B3">
        <w:rPr>
          <w:rFonts w:ascii="Times New Roman" w:hAnsi="Times New Roman" w:cs="Times New Roman"/>
          <w:sz w:val="24"/>
          <w:szCs w:val="24"/>
        </w:rPr>
        <w:t xml:space="preserve"> dans les dictionnaires de langue)</w:t>
      </w:r>
      <w:r w:rsidR="001D1590" w:rsidRPr="000A58B3">
        <w:rPr>
          <w:rFonts w:ascii="Times New Roman" w:hAnsi="Times New Roman" w:cs="Times New Roman"/>
          <w:sz w:val="24"/>
          <w:szCs w:val="24"/>
        </w:rPr>
        <w:t xml:space="preserve">, </w:t>
      </w:r>
      <w:r w:rsidR="000458A5" w:rsidRPr="000A58B3">
        <w:rPr>
          <w:rFonts w:ascii="Times New Roman" w:hAnsi="Times New Roman" w:cs="Times New Roman"/>
          <w:sz w:val="24"/>
          <w:szCs w:val="24"/>
        </w:rPr>
        <w:t>ces dénominations</w:t>
      </w:r>
      <w:r w:rsidR="0053277E" w:rsidRPr="000A58B3">
        <w:rPr>
          <w:rFonts w:ascii="Times New Roman" w:hAnsi="Times New Roman" w:cs="Times New Roman"/>
          <w:sz w:val="24"/>
          <w:szCs w:val="24"/>
        </w:rPr>
        <w:t xml:space="preserve"> peuvent </w:t>
      </w:r>
      <w:r w:rsidR="002377E6" w:rsidRPr="000A58B3">
        <w:rPr>
          <w:rFonts w:ascii="Times New Roman" w:hAnsi="Times New Roman" w:cs="Times New Roman"/>
          <w:sz w:val="24"/>
          <w:szCs w:val="24"/>
        </w:rPr>
        <w:t xml:space="preserve">parfois </w:t>
      </w:r>
      <w:r w:rsidR="0053277E" w:rsidRPr="000A58B3">
        <w:rPr>
          <w:rFonts w:ascii="Times New Roman" w:hAnsi="Times New Roman" w:cs="Times New Roman"/>
          <w:sz w:val="24"/>
          <w:szCs w:val="24"/>
        </w:rPr>
        <w:t>prendre racine dans la langue et être lexicalisé</w:t>
      </w:r>
      <w:r w:rsidR="001D1590" w:rsidRPr="000A58B3">
        <w:rPr>
          <w:rFonts w:ascii="Times New Roman" w:hAnsi="Times New Roman" w:cs="Times New Roman"/>
          <w:sz w:val="24"/>
          <w:szCs w:val="24"/>
        </w:rPr>
        <w:t>es (</w:t>
      </w:r>
      <w:r w:rsidR="002377E6" w:rsidRPr="000A58B3">
        <w:rPr>
          <w:rFonts w:ascii="Times New Roman" w:hAnsi="Times New Roman" w:cs="Times New Roman"/>
          <w:i/>
          <w:sz w:val="24"/>
          <w:szCs w:val="24"/>
        </w:rPr>
        <w:t>génération boomerang</w:t>
      </w:r>
      <w:r w:rsidR="002377E6" w:rsidRPr="000A58B3">
        <w:rPr>
          <w:rFonts w:ascii="Times New Roman" w:hAnsi="Times New Roman" w:cs="Times New Roman"/>
          <w:sz w:val="24"/>
          <w:szCs w:val="24"/>
        </w:rPr>
        <w:t xml:space="preserve">, </w:t>
      </w:r>
      <w:r w:rsidR="002377E6" w:rsidRPr="000A58B3">
        <w:rPr>
          <w:rFonts w:ascii="Times New Roman" w:hAnsi="Times New Roman" w:cs="Times New Roman"/>
          <w:i/>
          <w:sz w:val="24"/>
          <w:szCs w:val="24"/>
        </w:rPr>
        <w:t>génération X…</w:t>
      </w:r>
      <w:r w:rsidR="000458A5" w:rsidRPr="000A58B3">
        <w:rPr>
          <w:rFonts w:ascii="Times New Roman" w:hAnsi="Times New Roman" w:cs="Times New Roman"/>
          <w:sz w:val="24"/>
          <w:szCs w:val="24"/>
        </w:rPr>
        <w:t>). Il est souvent difficile d’en donner une définition précise tant elles apparaissent dans le prolongement l’une de l’autre, avec quelques ruptures sémantiques toutefois. Ce trait linguistique est particulièrement intéressant, aussi bien du point de vue de la créativité lexicale</w:t>
      </w:r>
      <w:r w:rsidR="00AE22D4" w:rsidRPr="000A58B3">
        <w:rPr>
          <w:rFonts w:ascii="Times New Roman" w:hAnsi="Times New Roman" w:cs="Times New Roman"/>
          <w:sz w:val="24"/>
          <w:szCs w:val="24"/>
        </w:rPr>
        <w:t>, des conditions de la disparition des unités néologiques</w:t>
      </w:r>
      <w:r w:rsidR="000458A5" w:rsidRPr="000A58B3">
        <w:rPr>
          <w:rFonts w:ascii="Times New Roman" w:hAnsi="Times New Roman" w:cs="Times New Roman"/>
          <w:sz w:val="24"/>
          <w:szCs w:val="24"/>
        </w:rPr>
        <w:t xml:space="preserve"> que de l’aspect sociolinguistique. Nous nous proposons de développer ces deux aspects </w:t>
      </w:r>
      <w:r w:rsidR="00AE22D4" w:rsidRPr="000A58B3">
        <w:rPr>
          <w:rFonts w:ascii="Times New Roman" w:hAnsi="Times New Roman" w:cs="Times New Roman"/>
          <w:sz w:val="24"/>
          <w:szCs w:val="24"/>
        </w:rPr>
        <w:t xml:space="preserve">comme spécifiques </w:t>
      </w:r>
      <w:r w:rsidR="000458A5" w:rsidRPr="000A58B3">
        <w:rPr>
          <w:rFonts w:ascii="Times New Roman" w:hAnsi="Times New Roman" w:cs="Times New Roman"/>
          <w:sz w:val="24"/>
          <w:szCs w:val="24"/>
        </w:rPr>
        <w:t>d’une néologie éphémère</w:t>
      </w:r>
      <w:r w:rsidR="00AE22D4" w:rsidRPr="000A58B3">
        <w:rPr>
          <w:rFonts w:ascii="Times New Roman" w:hAnsi="Times New Roman" w:cs="Times New Roman"/>
          <w:sz w:val="24"/>
          <w:szCs w:val="24"/>
        </w:rPr>
        <w:t xml:space="preserve">. </w:t>
      </w:r>
      <w:r w:rsidR="0053277E" w:rsidRPr="000A58B3">
        <w:rPr>
          <w:rFonts w:ascii="Times New Roman" w:hAnsi="Times New Roman" w:cs="Times New Roman"/>
          <w:sz w:val="24"/>
          <w:szCs w:val="24"/>
        </w:rPr>
        <w:t>Nous examinerons les conditions qui font surgir ces néologismes, les modalités de leur diffusion et le contexte de leur dispar</w:t>
      </w:r>
      <w:r w:rsidR="003D4C7A" w:rsidRPr="000A58B3">
        <w:rPr>
          <w:rFonts w:ascii="Times New Roman" w:hAnsi="Times New Roman" w:cs="Times New Roman"/>
          <w:sz w:val="24"/>
          <w:szCs w:val="24"/>
        </w:rPr>
        <w:t xml:space="preserve">ition ou de leur lexicalisation, tout en </w:t>
      </w:r>
      <w:r w:rsidR="00AE22D4" w:rsidRPr="000A58B3">
        <w:rPr>
          <w:rFonts w:ascii="Times New Roman" w:hAnsi="Times New Roman" w:cs="Times New Roman"/>
          <w:sz w:val="24"/>
          <w:szCs w:val="24"/>
        </w:rPr>
        <w:t>esquissant</w:t>
      </w:r>
      <w:r w:rsidR="003D4C7A" w:rsidRPr="000A58B3">
        <w:rPr>
          <w:rFonts w:ascii="Times New Roman" w:hAnsi="Times New Roman" w:cs="Times New Roman"/>
          <w:sz w:val="24"/>
          <w:szCs w:val="24"/>
        </w:rPr>
        <w:t xml:space="preserve"> une typologie linguistique.</w:t>
      </w:r>
      <w:r w:rsidR="0054280A" w:rsidRPr="000A58B3">
        <w:rPr>
          <w:rFonts w:ascii="Times New Roman" w:hAnsi="Times New Roman" w:cs="Times New Roman"/>
          <w:sz w:val="24"/>
          <w:szCs w:val="24"/>
        </w:rPr>
        <w:t xml:space="preserve"> Nous nous appuierons sur la presse écrite nationale ainsi que sur des lexiques en ligne pour analyser comment se construit l’appréhension linguistique de ces nouvelles notions que le locuteur doit saisir très vite pour être dans l’actualité et avant qu’elles disparaissent.</w:t>
      </w:r>
    </w:p>
    <w:p w:rsidR="006B5EDC" w:rsidRPr="00014CB0" w:rsidRDefault="006B5EDC" w:rsidP="0002558E">
      <w:pPr>
        <w:jc w:val="both"/>
        <w:rPr>
          <w:rFonts w:ascii="Times New Roman" w:hAnsi="Times New Roman" w:cs="Times New Roman"/>
          <w:sz w:val="24"/>
          <w:szCs w:val="24"/>
        </w:rPr>
      </w:pPr>
    </w:p>
    <w:p w:rsidR="006B5EDC" w:rsidRPr="00014CB0" w:rsidRDefault="006B5EDC" w:rsidP="0002558E">
      <w:pPr>
        <w:jc w:val="both"/>
        <w:rPr>
          <w:rFonts w:ascii="Times New Roman" w:hAnsi="Times New Roman" w:cs="Times New Roman"/>
          <w:sz w:val="24"/>
          <w:szCs w:val="24"/>
        </w:rPr>
      </w:pPr>
      <w:r w:rsidRPr="00014CB0">
        <w:rPr>
          <w:rFonts w:ascii="Times New Roman" w:hAnsi="Times New Roman" w:cs="Times New Roman"/>
          <w:sz w:val="24"/>
          <w:szCs w:val="24"/>
        </w:rPr>
        <w:t>Bibliographie</w:t>
      </w:r>
    </w:p>
    <w:p w:rsidR="0084600D" w:rsidRPr="0087339E" w:rsidRDefault="0084600D" w:rsidP="00014CB0">
      <w:pPr>
        <w:spacing w:line="240" w:lineRule="auto"/>
        <w:jc w:val="both"/>
        <w:rPr>
          <w:rFonts w:ascii="Times New Roman" w:hAnsi="Times New Roman" w:cs="Times New Roman"/>
        </w:rPr>
      </w:pPr>
      <w:proofErr w:type="spellStart"/>
      <w:r w:rsidRPr="0087339E">
        <w:rPr>
          <w:rFonts w:ascii="Times New Roman" w:hAnsi="Times New Roman" w:cs="Times New Roman"/>
        </w:rPr>
        <w:t>Bres</w:t>
      </w:r>
      <w:proofErr w:type="spellEnd"/>
      <w:r w:rsidRPr="0087339E">
        <w:rPr>
          <w:rFonts w:ascii="Times New Roman" w:hAnsi="Times New Roman" w:cs="Times New Roman"/>
        </w:rPr>
        <w:t xml:space="preserve"> Jacques, « Des stéréotypes sociaux », </w:t>
      </w:r>
      <w:r w:rsidR="00BC4BFC" w:rsidRPr="0087339E">
        <w:rPr>
          <w:rFonts w:ascii="Times New Roman" w:hAnsi="Times New Roman" w:cs="Times New Roman"/>
          <w:i/>
        </w:rPr>
        <w:t>Le même et l’autre en discours,</w:t>
      </w:r>
      <w:r w:rsidR="00BC4BFC" w:rsidRPr="0087339E">
        <w:rPr>
          <w:rFonts w:ascii="Times New Roman" w:hAnsi="Times New Roman" w:cs="Times New Roman"/>
        </w:rPr>
        <w:t xml:space="preserve"> </w:t>
      </w:r>
      <w:r w:rsidRPr="0087339E">
        <w:rPr>
          <w:rFonts w:ascii="Times New Roman" w:hAnsi="Times New Roman" w:cs="Times New Roman"/>
          <w:i/>
        </w:rPr>
        <w:t xml:space="preserve">Cahiers de </w:t>
      </w:r>
      <w:proofErr w:type="spellStart"/>
      <w:r w:rsidRPr="0087339E">
        <w:rPr>
          <w:rFonts w:ascii="Times New Roman" w:hAnsi="Times New Roman" w:cs="Times New Roman"/>
          <w:i/>
        </w:rPr>
        <w:t>praxématique</w:t>
      </w:r>
      <w:proofErr w:type="spellEnd"/>
      <w:r w:rsidRPr="0087339E">
        <w:rPr>
          <w:rFonts w:ascii="Times New Roman" w:hAnsi="Times New Roman" w:cs="Times New Roman"/>
        </w:rPr>
        <w:t>, n° 17, 1991.</w:t>
      </w:r>
    </w:p>
    <w:p w:rsidR="00D177FE" w:rsidRPr="0087339E" w:rsidRDefault="00BC4BFC" w:rsidP="00014CB0">
      <w:pPr>
        <w:spacing w:line="240" w:lineRule="auto"/>
        <w:jc w:val="both"/>
        <w:rPr>
          <w:rFonts w:ascii="Times New Roman" w:hAnsi="Times New Roman" w:cs="Times New Roman"/>
        </w:rPr>
      </w:pPr>
      <w:r w:rsidRPr="0087339E">
        <w:rPr>
          <w:rFonts w:ascii="Times New Roman" w:hAnsi="Times New Roman" w:cs="Times New Roman"/>
        </w:rPr>
        <w:lastRenderedPageBreak/>
        <w:t xml:space="preserve">Humbley John, </w:t>
      </w:r>
      <w:r w:rsidR="0087339E" w:rsidRPr="0087339E">
        <w:rPr>
          <w:rFonts w:ascii="Times New Roman" w:hAnsi="Times New Roman" w:cs="Times New Roman"/>
        </w:rPr>
        <w:t>« </w:t>
      </w:r>
      <w:r w:rsidRPr="0087339E">
        <w:rPr>
          <w:rFonts w:ascii="Times New Roman" w:hAnsi="Times New Roman" w:cs="Times New Roman"/>
        </w:rPr>
        <w:t xml:space="preserve">La classification des faux emprunts : une question de point de vue », dans </w:t>
      </w:r>
      <w:r w:rsidRPr="0087339E">
        <w:rPr>
          <w:rFonts w:ascii="Times New Roman" w:hAnsi="Times New Roman" w:cs="Times New Roman"/>
          <w:bCs/>
        </w:rPr>
        <w:t>A. Kacprzak et J.-F.</w:t>
      </w:r>
      <w:r w:rsidRPr="0087339E">
        <w:rPr>
          <w:rFonts w:ascii="Times New Roman" w:hAnsi="Times New Roman" w:cs="Times New Roman"/>
        </w:rPr>
        <w:t xml:space="preserve"> </w:t>
      </w:r>
      <w:r w:rsidRPr="0087339E">
        <w:rPr>
          <w:rFonts w:ascii="Times New Roman" w:hAnsi="Times New Roman" w:cs="Times New Roman"/>
          <w:bCs/>
        </w:rPr>
        <w:t>Sablayrolles</w:t>
      </w:r>
      <w:r w:rsidR="00F14D89">
        <w:rPr>
          <w:rFonts w:ascii="Times New Roman" w:hAnsi="Times New Roman" w:cs="Times New Roman"/>
        </w:rPr>
        <w:t> (éd.</w:t>
      </w:r>
      <w:bookmarkStart w:id="0" w:name="_GoBack"/>
      <w:bookmarkEnd w:id="0"/>
      <w:r w:rsidRPr="0087339E">
        <w:rPr>
          <w:rFonts w:ascii="Times New Roman" w:hAnsi="Times New Roman" w:cs="Times New Roman"/>
        </w:rPr>
        <w:t xml:space="preserve">), </w:t>
      </w:r>
      <w:r w:rsidRPr="0087339E">
        <w:rPr>
          <w:rFonts w:ascii="Times New Roman" w:hAnsi="Times New Roman" w:cs="Times New Roman"/>
          <w:i/>
        </w:rPr>
        <w:t>Emprunts néologiques et équivalents autochtones en français, en polonais et en tchèque</w:t>
      </w:r>
      <w:r w:rsidRPr="0087339E">
        <w:rPr>
          <w:rFonts w:ascii="Times New Roman" w:hAnsi="Times New Roman" w:cs="Times New Roman"/>
        </w:rPr>
        <w:t xml:space="preserve">, Limoges, Lambert-Lucas, coll. « La </w:t>
      </w:r>
      <w:proofErr w:type="spellStart"/>
      <w:r w:rsidRPr="0087339E">
        <w:rPr>
          <w:rFonts w:ascii="Times New Roman" w:hAnsi="Times New Roman" w:cs="Times New Roman"/>
        </w:rPr>
        <w:t>Lexicothèque</w:t>
      </w:r>
      <w:proofErr w:type="spellEnd"/>
      <w:r w:rsidRPr="0087339E">
        <w:rPr>
          <w:rFonts w:ascii="Times New Roman" w:hAnsi="Times New Roman" w:cs="Times New Roman"/>
        </w:rPr>
        <w:t> », 2016, p. 37-58.</w:t>
      </w:r>
    </w:p>
    <w:p w:rsidR="00D177FE" w:rsidRPr="0087339E" w:rsidRDefault="0087339E" w:rsidP="0087339E">
      <w:pPr>
        <w:autoSpaceDE w:val="0"/>
        <w:autoSpaceDN w:val="0"/>
        <w:adjustRightInd w:val="0"/>
        <w:spacing w:after="0"/>
        <w:jc w:val="both"/>
        <w:rPr>
          <w:rFonts w:ascii="Times New Roman" w:hAnsi="Times New Roman" w:cs="Times New Roman"/>
        </w:rPr>
      </w:pPr>
      <w:r w:rsidRPr="0087339E">
        <w:rPr>
          <w:rFonts w:ascii="Times New Roman" w:hAnsi="Times New Roman" w:cs="Times New Roman"/>
        </w:rPr>
        <w:t>Jacquet-Pfau Christine, Sablayrolles Jean-François et Humbley John</w:t>
      </w:r>
      <w:r w:rsidR="00BC4BFC" w:rsidRPr="0087339E">
        <w:rPr>
          <w:rFonts w:ascii="Times New Roman" w:hAnsi="Times New Roman" w:cs="Times New Roman"/>
          <w:iCs/>
        </w:rPr>
        <w:t xml:space="preserve">, </w:t>
      </w:r>
      <w:r w:rsidR="00D177FE" w:rsidRPr="0087339E">
        <w:rPr>
          <w:rFonts w:ascii="Times New Roman" w:hAnsi="Times New Roman" w:cs="Times New Roman"/>
          <w:iCs/>
        </w:rPr>
        <w:t>« </w:t>
      </w:r>
      <w:r w:rsidR="00D177FE" w:rsidRPr="0087339E">
        <w:rPr>
          <w:rFonts w:ascii="Times New Roman" w:hAnsi="Times New Roman" w:cs="Times New Roman"/>
          <w:bCs/>
          <w:iCs/>
        </w:rPr>
        <w:t>Emprunts, créations « sous influence » et équivalents »,</w:t>
      </w:r>
      <w:r w:rsidR="00D177FE" w:rsidRPr="0087339E">
        <w:rPr>
          <w:rFonts w:ascii="Times New Roman" w:hAnsi="Times New Roman" w:cs="Times New Roman"/>
          <w:bCs/>
          <w:i/>
          <w:iCs/>
        </w:rPr>
        <w:t xml:space="preserve"> </w:t>
      </w:r>
      <w:r w:rsidR="00D177FE" w:rsidRPr="0087339E">
        <w:rPr>
          <w:rFonts w:ascii="Times New Roman" w:hAnsi="Times New Roman" w:cs="Times New Roman"/>
          <w:bCs/>
          <w:iCs/>
        </w:rPr>
        <w:t>dans</w:t>
      </w:r>
      <w:r w:rsidR="00D177FE" w:rsidRPr="0087339E">
        <w:rPr>
          <w:rStyle w:val="lev"/>
          <w:rFonts w:ascii="Times New Roman" w:hAnsi="Times New Roman" w:cs="Times New Roman"/>
          <w:b w:val="0"/>
        </w:rPr>
        <w:t xml:space="preserve"> M.</w:t>
      </w:r>
      <w:r w:rsidR="00D177FE" w:rsidRPr="0087339E">
        <w:rPr>
          <w:rFonts w:ascii="Times New Roman" w:hAnsi="Times New Roman" w:cs="Times New Roman"/>
        </w:rPr>
        <w:t> Van Campenhoudt, T. Lino et R. Costa, « </w:t>
      </w:r>
      <w:r w:rsidR="00D177FE" w:rsidRPr="0087339E">
        <w:rPr>
          <w:rFonts w:ascii="Times New Roman" w:hAnsi="Times New Roman" w:cs="Times New Roman"/>
          <w:i/>
          <w:iCs/>
        </w:rPr>
        <w:t>Passeurs de mots, passeurs d’espoir : lexicologie, terminologie et traduction face au défi de la diversité</w:t>
      </w:r>
      <w:r w:rsidR="00D177FE" w:rsidRPr="0087339E">
        <w:rPr>
          <w:rFonts w:ascii="Times New Roman" w:hAnsi="Times New Roman" w:cs="Times New Roman"/>
        </w:rPr>
        <w:t> </w:t>
      </w:r>
      <w:r w:rsidR="00D177FE" w:rsidRPr="0087339E">
        <w:rPr>
          <w:rFonts w:ascii="Times New Roman" w:hAnsi="Times New Roman" w:cs="Times New Roman"/>
          <w:i/>
        </w:rPr>
        <w:t xml:space="preserve">», Actes des huitièmes Journées scientifiques du réseau de chercheurs </w:t>
      </w:r>
      <w:r w:rsidR="00D177FE" w:rsidRPr="0087339E">
        <w:rPr>
          <w:rFonts w:ascii="Times New Roman" w:hAnsi="Times New Roman" w:cs="Times New Roman"/>
          <w:i/>
          <w:iCs/>
        </w:rPr>
        <w:t>Lexicologie, Terminologie, Traduction (LTT)</w:t>
      </w:r>
      <w:r w:rsidR="00D177FE" w:rsidRPr="0087339E">
        <w:rPr>
          <w:rFonts w:ascii="Times New Roman" w:hAnsi="Times New Roman" w:cs="Times New Roman"/>
          <w:i/>
        </w:rPr>
        <w:t>, Lisbonne, 15-17 octobre 2009</w:t>
      </w:r>
      <w:r w:rsidR="00D177FE" w:rsidRPr="0087339E">
        <w:rPr>
          <w:rFonts w:ascii="Times New Roman" w:hAnsi="Times New Roman" w:cs="Times New Roman"/>
        </w:rPr>
        <w:t>, Paris, Éditions des Archives Contemporaines, 2011, p. 325-340.</w:t>
      </w:r>
      <w:r w:rsidRPr="0087339E">
        <w:rPr>
          <w:rFonts w:ascii="Times New Roman" w:hAnsi="Times New Roman" w:cs="Times New Roman"/>
        </w:rPr>
        <w:t xml:space="preserve"> </w:t>
      </w:r>
    </w:p>
    <w:p w:rsidR="00D177FE" w:rsidRPr="0087339E" w:rsidRDefault="00D177FE" w:rsidP="0087339E">
      <w:pPr>
        <w:spacing w:after="0" w:line="240" w:lineRule="auto"/>
        <w:jc w:val="both"/>
        <w:rPr>
          <w:rFonts w:ascii="Times New Roman" w:hAnsi="Times New Roman" w:cs="Times New Roman"/>
        </w:rPr>
      </w:pPr>
    </w:p>
    <w:p w:rsidR="00014CB0" w:rsidRPr="0087339E" w:rsidRDefault="006B5EDC" w:rsidP="00014CB0">
      <w:pPr>
        <w:spacing w:line="240" w:lineRule="auto"/>
        <w:jc w:val="both"/>
        <w:rPr>
          <w:rFonts w:ascii="Times New Roman" w:hAnsi="Times New Roman" w:cs="Times New Roman"/>
        </w:rPr>
      </w:pPr>
      <w:r w:rsidRPr="0087339E">
        <w:rPr>
          <w:rFonts w:ascii="Times New Roman" w:hAnsi="Times New Roman" w:cs="Times New Roman"/>
        </w:rPr>
        <w:t>Jacquet-Pfau Christine et Sablayrolles Jean-François</w:t>
      </w:r>
      <w:r w:rsidR="004A5414" w:rsidRPr="0087339E">
        <w:rPr>
          <w:rFonts w:ascii="Times New Roman" w:hAnsi="Times New Roman" w:cs="Times New Roman"/>
        </w:rPr>
        <w:t xml:space="preserve"> (</w:t>
      </w:r>
      <w:proofErr w:type="spellStart"/>
      <w:r w:rsidR="004A5414" w:rsidRPr="0087339E">
        <w:rPr>
          <w:rFonts w:ascii="Times New Roman" w:hAnsi="Times New Roman" w:cs="Times New Roman"/>
        </w:rPr>
        <w:t>dir</w:t>
      </w:r>
      <w:proofErr w:type="spellEnd"/>
      <w:r w:rsidR="004A5414" w:rsidRPr="0087339E">
        <w:rPr>
          <w:rFonts w:ascii="Times New Roman" w:hAnsi="Times New Roman" w:cs="Times New Roman"/>
        </w:rPr>
        <w:t>.)</w:t>
      </w:r>
      <w:r w:rsidRPr="0087339E">
        <w:rPr>
          <w:rFonts w:ascii="Times New Roman" w:hAnsi="Times New Roman" w:cs="Times New Roman"/>
        </w:rPr>
        <w:t xml:space="preserve">, </w:t>
      </w:r>
      <w:r w:rsidR="004A5414" w:rsidRPr="0087339E">
        <w:rPr>
          <w:rFonts w:ascii="Times New Roman" w:hAnsi="Times New Roman" w:cs="Times New Roman"/>
          <w:i/>
          <w:lang w:val="it-IT"/>
        </w:rPr>
        <w:t>La Fabrique des mots français</w:t>
      </w:r>
      <w:r w:rsidR="004A5414" w:rsidRPr="0087339E">
        <w:rPr>
          <w:rFonts w:ascii="Times New Roman" w:hAnsi="Times New Roman" w:cs="Times New Roman"/>
          <w:lang w:val="it-IT"/>
        </w:rPr>
        <w:t xml:space="preserve"> (Actes du colloque de Cerisy),</w:t>
      </w:r>
      <w:r w:rsidR="00014CB0" w:rsidRPr="0087339E">
        <w:rPr>
          <w:rFonts w:ascii="Times New Roman" w:hAnsi="Times New Roman" w:cs="Times New Roman"/>
          <w:lang w:val="it-IT"/>
        </w:rPr>
        <w:t xml:space="preserve"> Limoges, Lambert-Lucas, </w:t>
      </w:r>
      <w:r w:rsidR="00014CB0" w:rsidRPr="0087339E">
        <w:rPr>
          <w:rFonts w:ascii="Times New Roman" w:hAnsi="Times New Roman" w:cs="Times New Roman"/>
        </w:rPr>
        <w:t>coll. « </w:t>
      </w:r>
      <w:r w:rsidR="004A5414" w:rsidRPr="0087339E">
        <w:rPr>
          <w:rFonts w:ascii="Times New Roman" w:hAnsi="Times New Roman" w:cs="Times New Roman"/>
        </w:rPr>
        <w:t xml:space="preserve">La </w:t>
      </w:r>
      <w:proofErr w:type="spellStart"/>
      <w:r w:rsidR="004A5414" w:rsidRPr="0087339E">
        <w:rPr>
          <w:rFonts w:ascii="Times New Roman" w:hAnsi="Times New Roman" w:cs="Times New Roman"/>
        </w:rPr>
        <w:t>Lexicothèque</w:t>
      </w:r>
      <w:proofErr w:type="spellEnd"/>
      <w:r w:rsidR="00014CB0" w:rsidRPr="0087339E">
        <w:rPr>
          <w:rFonts w:ascii="Times New Roman" w:hAnsi="Times New Roman" w:cs="Times New Roman"/>
        </w:rPr>
        <w:t> »</w:t>
      </w:r>
      <w:r w:rsidR="004A5414" w:rsidRPr="0087339E">
        <w:rPr>
          <w:rFonts w:ascii="Times New Roman" w:hAnsi="Times New Roman" w:cs="Times New Roman"/>
        </w:rPr>
        <w:t>, 2016.</w:t>
      </w:r>
    </w:p>
    <w:p w:rsidR="00014CB0" w:rsidRPr="0087339E" w:rsidRDefault="00014CB0" w:rsidP="00014CB0">
      <w:pPr>
        <w:spacing w:after="0" w:line="240" w:lineRule="auto"/>
        <w:jc w:val="both"/>
        <w:rPr>
          <w:rFonts w:ascii="Times New Roman" w:hAnsi="Times New Roman" w:cs="Times New Roman"/>
          <w:lang w:val="it-IT"/>
        </w:rPr>
      </w:pPr>
      <w:r w:rsidRPr="0087339E">
        <w:rPr>
          <w:rFonts w:ascii="Times New Roman" w:hAnsi="Times New Roman" w:cs="Times New Roman"/>
          <w:lang w:val="it-IT"/>
        </w:rPr>
        <w:t>Kacprzak Alicja,</w:t>
      </w:r>
      <w:r w:rsidRPr="0087339E">
        <w:rPr>
          <w:rFonts w:ascii="Times New Roman" w:hAnsi="Times New Roman" w:cs="Times New Roman"/>
        </w:rPr>
        <w:t xml:space="preserve"> « La veille néologique en tant que démarche à visée lexicographique : exemple de l’emprunt récent à l’anglais en français et en polonais », dans </w:t>
      </w:r>
      <w:proofErr w:type="spellStart"/>
      <w:r w:rsidRPr="0087339E">
        <w:rPr>
          <w:rFonts w:ascii="Times New Roman" w:hAnsi="Times New Roman" w:cs="Times New Roman"/>
          <w:i/>
        </w:rPr>
        <w:t>Romanica</w:t>
      </w:r>
      <w:proofErr w:type="spellEnd"/>
      <w:r w:rsidRPr="0087339E">
        <w:rPr>
          <w:rFonts w:ascii="Times New Roman" w:hAnsi="Times New Roman" w:cs="Times New Roman"/>
          <w:i/>
        </w:rPr>
        <w:t xml:space="preserve"> </w:t>
      </w:r>
      <w:proofErr w:type="spellStart"/>
      <w:r w:rsidRPr="0087339E">
        <w:rPr>
          <w:rFonts w:ascii="Times New Roman" w:hAnsi="Times New Roman" w:cs="Times New Roman"/>
          <w:i/>
        </w:rPr>
        <w:t>Wratislaviensia</w:t>
      </w:r>
      <w:proofErr w:type="spellEnd"/>
      <w:r w:rsidRPr="0087339E">
        <w:rPr>
          <w:rFonts w:ascii="Times New Roman" w:hAnsi="Times New Roman" w:cs="Times New Roman"/>
        </w:rPr>
        <w:t>, n</w:t>
      </w:r>
      <w:r w:rsidRPr="0087339E">
        <w:rPr>
          <w:rFonts w:ascii="Times New Roman" w:hAnsi="Times New Roman" w:cs="Times New Roman"/>
          <w:vertAlign w:val="superscript"/>
        </w:rPr>
        <w:t>o</w:t>
      </w:r>
      <w:r w:rsidRPr="0087339E">
        <w:rPr>
          <w:rFonts w:ascii="Times New Roman" w:hAnsi="Times New Roman" w:cs="Times New Roman"/>
        </w:rPr>
        <w:t xml:space="preserve"> 63, 2016, p. 69 – 77. </w:t>
      </w:r>
    </w:p>
    <w:p w:rsidR="00014CB0" w:rsidRPr="0087339E" w:rsidRDefault="00014CB0" w:rsidP="00014CB0">
      <w:pPr>
        <w:spacing w:after="0" w:line="240" w:lineRule="auto"/>
        <w:jc w:val="both"/>
        <w:rPr>
          <w:rFonts w:ascii="Times New Roman" w:hAnsi="Times New Roman" w:cs="Times New Roman"/>
        </w:rPr>
      </w:pPr>
    </w:p>
    <w:p w:rsidR="00D177FE" w:rsidRPr="0087339E" w:rsidRDefault="00D177FE" w:rsidP="00014CB0">
      <w:pPr>
        <w:spacing w:after="0" w:line="240" w:lineRule="auto"/>
        <w:jc w:val="both"/>
        <w:rPr>
          <w:rFonts w:ascii="Times New Roman" w:hAnsi="Times New Roman" w:cs="Times New Roman"/>
        </w:rPr>
      </w:pPr>
      <w:proofErr w:type="spellStart"/>
      <w:r w:rsidRPr="0087339E">
        <w:rPr>
          <w:rFonts w:ascii="Times New Roman" w:hAnsi="Times New Roman" w:cs="Times New Roman"/>
        </w:rPr>
        <w:t>Mortureux</w:t>
      </w:r>
      <w:proofErr w:type="spellEnd"/>
      <w:r w:rsidRPr="0087339E">
        <w:rPr>
          <w:rFonts w:ascii="Times New Roman" w:hAnsi="Times New Roman" w:cs="Times New Roman"/>
        </w:rPr>
        <w:t xml:space="preserve"> Françoise, </w:t>
      </w:r>
      <w:r w:rsidRPr="0087339E">
        <w:rPr>
          <w:rFonts w:ascii="Times New Roman" w:hAnsi="Times New Roman" w:cs="Times New Roman"/>
          <w:i/>
        </w:rPr>
        <w:t xml:space="preserve">La </w:t>
      </w:r>
      <w:r w:rsidR="0087339E" w:rsidRPr="0087339E">
        <w:rPr>
          <w:rFonts w:ascii="Times New Roman" w:hAnsi="Times New Roman" w:cs="Times New Roman"/>
          <w:i/>
        </w:rPr>
        <w:t>lexicologie entre langue et discours</w:t>
      </w:r>
      <w:r w:rsidRPr="0087339E">
        <w:rPr>
          <w:rFonts w:ascii="Times New Roman" w:hAnsi="Times New Roman" w:cs="Times New Roman"/>
        </w:rPr>
        <w:t xml:space="preserve">, Paris, Armand Colin, </w:t>
      </w:r>
      <w:r w:rsidR="0087339E" w:rsidRPr="0087339E">
        <w:rPr>
          <w:rFonts w:ascii="Times New Roman" w:hAnsi="Times New Roman" w:cs="Times New Roman"/>
        </w:rPr>
        <w:t xml:space="preserve">2008 </w:t>
      </w:r>
      <w:r w:rsidRPr="0087339E">
        <w:rPr>
          <w:rFonts w:ascii="Times New Roman" w:hAnsi="Times New Roman" w:cs="Times New Roman"/>
        </w:rPr>
        <w:t>[2001]</w:t>
      </w:r>
      <w:r w:rsidR="0087339E" w:rsidRPr="0087339E">
        <w:rPr>
          <w:rFonts w:ascii="Times New Roman" w:hAnsi="Times New Roman" w:cs="Times New Roman"/>
        </w:rPr>
        <w:t>.</w:t>
      </w:r>
    </w:p>
    <w:p w:rsidR="00D177FE" w:rsidRPr="0087339E" w:rsidRDefault="00D177FE" w:rsidP="00014CB0">
      <w:pPr>
        <w:spacing w:after="0" w:line="240" w:lineRule="auto"/>
        <w:jc w:val="both"/>
        <w:rPr>
          <w:rFonts w:ascii="Times New Roman" w:hAnsi="Times New Roman" w:cs="Times New Roman"/>
        </w:rPr>
      </w:pPr>
    </w:p>
    <w:p w:rsidR="0084600D" w:rsidRPr="0087339E" w:rsidRDefault="0084600D" w:rsidP="00014CB0">
      <w:pPr>
        <w:spacing w:after="0" w:line="240" w:lineRule="auto"/>
        <w:jc w:val="both"/>
        <w:rPr>
          <w:rFonts w:ascii="Times New Roman" w:hAnsi="Times New Roman" w:cs="Times New Roman"/>
          <w:bCs/>
          <w:shd w:val="clear" w:color="auto" w:fill="FFFFFF"/>
        </w:rPr>
      </w:pPr>
      <w:r w:rsidRPr="0087339E">
        <w:rPr>
          <w:rFonts w:ascii="Times New Roman" w:hAnsi="Times New Roman" w:cs="Times New Roman"/>
          <w:bCs/>
          <w:shd w:val="clear" w:color="auto" w:fill="FFFFFF"/>
        </w:rPr>
        <w:t>Jean-François Sablayrolles,</w:t>
      </w:r>
      <w:r w:rsidR="0087339E" w:rsidRPr="0087339E">
        <w:rPr>
          <w:rFonts w:ascii="Times New Roman" w:hAnsi="Times New Roman" w:cs="Times New Roman"/>
          <w:bCs/>
          <w:shd w:val="clear" w:color="auto" w:fill="FFFFFF"/>
        </w:rPr>
        <w:t xml:space="preserve"> </w:t>
      </w:r>
      <w:r w:rsidRPr="0087339E">
        <w:rPr>
          <w:rStyle w:val="Accentuation"/>
          <w:rFonts w:ascii="Times New Roman" w:hAnsi="Times New Roman" w:cs="Times New Roman"/>
          <w:bCs/>
          <w:shd w:val="clear" w:color="auto" w:fill="FFFFFF"/>
        </w:rPr>
        <w:t>La néologie en français contemporain. Examen du concept et analyse de productions néologiques récentes</w:t>
      </w:r>
      <w:r w:rsidRPr="0087339E">
        <w:rPr>
          <w:rFonts w:ascii="Times New Roman" w:hAnsi="Times New Roman" w:cs="Times New Roman"/>
          <w:bCs/>
          <w:shd w:val="clear" w:color="auto" w:fill="FFFFFF"/>
        </w:rPr>
        <w:t xml:space="preserve">, Paris, Honoré Champion, coll. « </w:t>
      </w:r>
      <w:proofErr w:type="spellStart"/>
      <w:r w:rsidRPr="0087339E">
        <w:rPr>
          <w:rFonts w:ascii="Times New Roman" w:hAnsi="Times New Roman" w:cs="Times New Roman"/>
          <w:bCs/>
          <w:shd w:val="clear" w:color="auto" w:fill="FFFFFF"/>
        </w:rPr>
        <w:t>Lexica</w:t>
      </w:r>
      <w:proofErr w:type="spellEnd"/>
      <w:r w:rsidRPr="0087339E">
        <w:rPr>
          <w:rFonts w:ascii="Times New Roman" w:hAnsi="Times New Roman" w:cs="Times New Roman"/>
          <w:bCs/>
          <w:shd w:val="clear" w:color="auto" w:fill="FFFFFF"/>
        </w:rPr>
        <w:t>. Mots et dictionnaires », 2000</w:t>
      </w:r>
    </w:p>
    <w:p w:rsidR="00D177FE" w:rsidRPr="0087339E" w:rsidRDefault="00D177FE" w:rsidP="00014CB0">
      <w:pPr>
        <w:spacing w:after="0" w:line="240" w:lineRule="auto"/>
        <w:jc w:val="both"/>
        <w:rPr>
          <w:rFonts w:ascii="Times New Roman" w:hAnsi="Times New Roman" w:cs="Times New Roman"/>
        </w:rPr>
      </w:pPr>
    </w:p>
    <w:p w:rsidR="00BC4BFC" w:rsidRPr="0087339E" w:rsidRDefault="004A5414" w:rsidP="00BC4BFC">
      <w:pPr>
        <w:spacing w:line="240" w:lineRule="auto"/>
        <w:jc w:val="both"/>
        <w:rPr>
          <w:rFonts w:ascii="Times New Roman" w:hAnsi="Times New Roman" w:cs="Times New Roman"/>
          <w:iCs/>
        </w:rPr>
      </w:pPr>
      <w:r w:rsidRPr="0087339E">
        <w:rPr>
          <w:rFonts w:ascii="Times New Roman" w:hAnsi="Times New Roman" w:cs="Times New Roman"/>
          <w:lang w:val="it-IT"/>
        </w:rPr>
        <w:t xml:space="preserve">Lecolle Michèle, </w:t>
      </w:r>
      <w:r w:rsidRPr="0087339E">
        <w:rPr>
          <w:rFonts w:ascii="Times New Roman" w:hAnsi="Times New Roman" w:cs="Times New Roman"/>
        </w:rPr>
        <w:t>« Dénominations émergentes de groupes sociaux », dans C</w:t>
      </w:r>
      <w:r w:rsidR="0087339E">
        <w:rPr>
          <w:rFonts w:ascii="Times New Roman" w:hAnsi="Times New Roman" w:cs="Times New Roman"/>
        </w:rPr>
        <w:t>.</w:t>
      </w:r>
      <w:r w:rsidRPr="0087339E">
        <w:rPr>
          <w:rFonts w:ascii="Times New Roman" w:hAnsi="Times New Roman" w:cs="Times New Roman"/>
        </w:rPr>
        <w:t xml:space="preserve"> Jacquet-Pfau et J</w:t>
      </w:r>
      <w:r w:rsidR="0087339E">
        <w:rPr>
          <w:rFonts w:ascii="Times New Roman" w:hAnsi="Times New Roman" w:cs="Times New Roman"/>
        </w:rPr>
        <w:t>.</w:t>
      </w:r>
      <w:r w:rsidRPr="0087339E">
        <w:rPr>
          <w:rFonts w:ascii="Times New Roman" w:hAnsi="Times New Roman" w:cs="Times New Roman"/>
        </w:rPr>
        <w:t>-</w:t>
      </w:r>
      <w:r w:rsidR="0087339E">
        <w:rPr>
          <w:rFonts w:ascii="Times New Roman" w:hAnsi="Times New Roman" w:cs="Times New Roman"/>
        </w:rPr>
        <w:t xml:space="preserve">F. </w:t>
      </w:r>
      <w:r w:rsidRPr="0087339E">
        <w:rPr>
          <w:rFonts w:ascii="Times New Roman" w:hAnsi="Times New Roman" w:cs="Times New Roman"/>
        </w:rPr>
        <w:t xml:space="preserve">Sablayrolles, </w:t>
      </w:r>
      <w:r w:rsidRPr="0087339E">
        <w:rPr>
          <w:rFonts w:ascii="Times New Roman" w:hAnsi="Times New Roman" w:cs="Times New Roman"/>
          <w:i/>
          <w:iCs/>
        </w:rPr>
        <w:t>La Fabrique des Mots</w:t>
      </w:r>
      <w:r w:rsidRPr="0087339E">
        <w:rPr>
          <w:rFonts w:ascii="Times New Roman" w:hAnsi="Times New Roman" w:cs="Times New Roman"/>
          <w:iCs/>
        </w:rPr>
        <w:t>, Limoges, Lambert-Lucas, coll</w:t>
      </w:r>
      <w:r w:rsidR="00014CB0" w:rsidRPr="0087339E">
        <w:rPr>
          <w:rFonts w:ascii="Times New Roman" w:hAnsi="Times New Roman" w:cs="Times New Roman"/>
          <w:iCs/>
        </w:rPr>
        <w:t xml:space="preserve">. « La </w:t>
      </w:r>
      <w:proofErr w:type="spellStart"/>
      <w:r w:rsidR="00014CB0" w:rsidRPr="0087339E">
        <w:rPr>
          <w:rFonts w:ascii="Times New Roman" w:hAnsi="Times New Roman" w:cs="Times New Roman"/>
          <w:iCs/>
        </w:rPr>
        <w:t>Lexicothèque</w:t>
      </w:r>
      <w:proofErr w:type="spellEnd"/>
      <w:r w:rsidR="00014CB0" w:rsidRPr="0087339E">
        <w:rPr>
          <w:rFonts w:ascii="Times New Roman" w:hAnsi="Times New Roman" w:cs="Times New Roman"/>
          <w:iCs/>
        </w:rPr>
        <w:t> », 2016, p. </w:t>
      </w:r>
      <w:r w:rsidRPr="0087339E">
        <w:rPr>
          <w:rFonts w:ascii="Times New Roman" w:hAnsi="Times New Roman" w:cs="Times New Roman"/>
          <w:iCs/>
        </w:rPr>
        <w:t>327-344.</w:t>
      </w:r>
    </w:p>
    <w:sectPr w:rsidR="00BC4BFC" w:rsidRPr="0087339E" w:rsidSect="00BD6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558E"/>
    <w:rsid w:val="00014CB0"/>
    <w:rsid w:val="0002558E"/>
    <w:rsid w:val="00033266"/>
    <w:rsid w:val="00037E74"/>
    <w:rsid w:val="000458A5"/>
    <w:rsid w:val="000A58B3"/>
    <w:rsid w:val="00125452"/>
    <w:rsid w:val="001321F3"/>
    <w:rsid w:val="001D1590"/>
    <w:rsid w:val="002377E6"/>
    <w:rsid w:val="00307E51"/>
    <w:rsid w:val="003D4C7A"/>
    <w:rsid w:val="004A5414"/>
    <w:rsid w:val="0053277E"/>
    <w:rsid w:val="00541ACC"/>
    <w:rsid w:val="0054280A"/>
    <w:rsid w:val="0069243B"/>
    <w:rsid w:val="006B5EDC"/>
    <w:rsid w:val="006F69D9"/>
    <w:rsid w:val="00821A91"/>
    <w:rsid w:val="0084600D"/>
    <w:rsid w:val="0087339E"/>
    <w:rsid w:val="00914855"/>
    <w:rsid w:val="009705D2"/>
    <w:rsid w:val="009F1BB5"/>
    <w:rsid w:val="00AC383B"/>
    <w:rsid w:val="00AE22D4"/>
    <w:rsid w:val="00BA0DF2"/>
    <w:rsid w:val="00BC4BFC"/>
    <w:rsid w:val="00BD67C9"/>
    <w:rsid w:val="00CE493F"/>
    <w:rsid w:val="00D05FA5"/>
    <w:rsid w:val="00D177FE"/>
    <w:rsid w:val="00DB5D0E"/>
    <w:rsid w:val="00DE0E9B"/>
    <w:rsid w:val="00F14D89"/>
    <w:rsid w:val="00F37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DCD1B-A726-4F20-8500-04A50DA9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C9"/>
  </w:style>
  <w:style w:type="paragraph" w:styleId="Titre2">
    <w:name w:val="heading 2"/>
    <w:basedOn w:val="Normal"/>
    <w:next w:val="Normal"/>
    <w:link w:val="Titre2Car"/>
    <w:semiHidden/>
    <w:unhideWhenUsed/>
    <w:qFormat/>
    <w:rsid w:val="00014CB0"/>
    <w:pPr>
      <w:keepNext/>
      <w:spacing w:before="240" w:after="60" w:line="240" w:lineRule="auto"/>
      <w:outlineLvl w:val="1"/>
    </w:pPr>
    <w:rPr>
      <w:rFonts w:ascii="Cambria" w:eastAsia="Times New Roman" w:hAnsi="Cambria" w:cs="Times New Roman"/>
      <w:b/>
      <w:bCs/>
      <w:i/>
      <w:iCs/>
      <w:sz w:val="28"/>
      <w:szCs w:val="28"/>
      <w:lang w:val="pl-PL" w:eastAsia="pl-PL"/>
    </w:rPr>
  </w:style>
  <w:style w:type="paragraph" w:styleId="Titre4">
    <w:name w:val="heading 4"/>
    <w:basedOn w:val="Normal"/>
    <w:next w:val="Normal"/>
    <w:link w:val="Titre4Car"/>
    <w:uiPriority w:val="9"/>
    <w:semiHidden/>
    <w:unhideWhenUsed/>
    <w:qFormat/>
    <w:rsid w:val="008460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014CB0"/>
    <w:rPr>
      <w:rFonts w:ascii="Cambria" w:eastAsia="Times New Roman" w:hAnsi="Cambria" w:cs="Times New Roman"/>
      <w:b/>
      <w:bCs/>
      <w:i/>
      <w:iCs/>
      <w:sz w:val="28"/>
      <w:szCs w:val="28"/>
      <w:lang w:val="pl-PL" w:eastAsia="pl-PL"/>
    </w:rPr>
  </w:style>
  <w:style w:type="character" w:customStyle="1" w:styleId="Titre4Car">
    <w:name w:val="Titre 4 Car"/>
    <w:basedOn w:val="Policepardfaut"/>
    <w:link w:val="Titre4"/>
    <w:uiPriority w:val="9"/>
    <w:semiHidden/>
    <w:rsid w:val="0084600D"/>
    <w:rPr>
      <w:rFonts w:asciiTheme="majorHAnsi" w:eastAsiaTheme="majorEastAsia" w:hAnsiTheme="majorHAnsi" w:cstheme="majorBidi"/>
      <w:i/>
      <w:iCs/>
      <w:color w:val="2E74B5" w:themeColor="accent1" w:themeShade="BF"/>
    </w:rPr>
  </w:style>
  <w:style w:type="character" w:styleId="Accentuation">
    <w:name w:val="Emphasis"/>
    <w:basedOn w:val="Policepardfaut"/>
    <w:uiPriority w:val="20"/>
    <w:qFormat/>
    <w:rsid w:val="0084600D"/>
    <w:rPr>
      <w:i/>
      <w:iCs/>
    </w:rPr>
  </w:style>
  <w:style w:type="character" w:styleId="lev">
    <w:name w:val="Strong"/>
    <w:uiPriority w:val="22"/>
    <w:qFormat/>
    <w:rsid w:val="00D17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Jacquet-Pfau</dc:creator>
  <cp:lastModifiedBy>Christine Jacquet-Pfau</cp:lastModifiedBy>
  <cp:revision>2</cp:revision>
  <dcterms:created xsi:type="dcterms:W3CDTF">2017-11-15T15:58:00Z</dcterms:created>
  <dcterms:modified xsi:type="dcterms:W3CDTF">2017-11-15T15:58:00Z</dcterms:modified>
</cp:coreProperties>
</file>