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EA" w:rsidRPr="0009153A" w:rsidRDefault="000569EA" w:rsidP="000A2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153A">
        <w:rPr>
          <w:noProof/>
          <w:lang w:eastAsia="es-ES"/>
        </w:rPr>
        <w:drawing>
          <wp:inline distT="0" distB="0" distL="0" distR="0">
            <wp:extent cx="5398651" cy="1085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EO 2015 (Salamanca, 22 a 24 de octubre de 2015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90" cy="10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EA" w:rsidRPr="0009153A" w:rsidRDefault="000569EA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0569EA" w:rsidRPr="0009153A" w:rsidRDefault="002C73B1" w:rsidP="000A267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Arial Narrow" w:hAnsi="Arial Narrow" w:cs="Times New Roman"/>
          <w:b/>
          <w:sz w:val="24"/>
        </w:rPr>
      </w:pPr>
      <w:r w:rsidRPr="0009153A">
        <w:rPr>
          <w:rFonts w:ascii="Arial Narrow" w:hAnsi="Arial Narrow" w:cs="Times New Roman"/>
          <w:b/>
          <w:sz w:val="24"/>
        </w:rPr>
        <w:t>Metadatos</w:t>
      </w:r>
    </w:p>
    <w:p w:rsidR="000569EA" w:rsidRDefault="000569EA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C73574" w:rsidRPr="00885A50" w:rsidRDefault="00C73574" w:rsidP="00C73574">
      <w:pPr>
        <w:spacing w:after="0" w:line="240" w:lineRule="auto"/>
        <w:jc w:val="both"/>
        <w:rPr>
          <w:rFonts w:ascii="Arial Narrow" w:hAnsi="Arial Narrow" w:cs="Times New Roman"/>
          <w:b/>
          <w:sz w:val="24"/>
        </w:rPr>
      </w:pPr>
      <w:r w:rsidRPr="00885A50">
        <w:rPr>
          <w:rFonts w:ascii="Arial Narrow" w:hAnsi="Arial Narrow" w:cs="Times New Roman"/>
          <w:b/>
          <w:sz w:val="24"/>
        </w:rPr>
        <w:t>Extensión del resumen: 500 palabras</w:t>
      </w:r>
    </w:p>
    <w:p w:rsidR="00C73574" w:rsidRDefault="00C73574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2C73B1" w:rsidRDefault="002C73B1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bookmarkStart w:id="0" w:name="_GoBack"/>
      <w:bookmarkEnd w:id="0"/>
      <w:r w:rsidRPr="00C73574">
        <w:rPr>
          <w:rFonts w:ascii="Arial Narrow" w:hAnsi="Arial Narrow" w:cs="Times New Roman"/>
          <w:b/>
          <w:sz w:val="24"/>
        </w:rPr>
        <w:t>Título (*):</w:t>
      </w:r>
      <w:r w:rsidR="00410048">
        <w:rPr>
          <w:rFonts w:ascii="Arial Narrow" w:hAnsi="Arial Narrow" w:cs="Times New Roman"/>
          <w:sz w:val="24"/>
        </w:rPr>
        <w:t xml:space="preserve"> Las creaciones neológicas por acronimia en el lenguaje de la publicidad</w:t>
      </w:r>
    </w:p>
    <w:p w:rsidR="006D2653" w:rsidRPr="0009153A" w:rsidRDefault="006D2653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6D2653" w:rsidRDefault="002C73B1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C73574">
        <w:rPr>
          <w:rFonts w:ascii="Arial Narrow" w:hAnsi="Arial Narrow" w:cs="Times New Roman"/>
          <w:b/>
          <w:sz w:val="24"/>
        </w:rPr>
        <w:t>Resumen (*):</w:t>
      </w:r>
      <w:r w:rsidR="00410048">
        <w:rPr>
          <w:rFonts w:ascii="Arial Narrow" w:hAnsi="Arial Narrow" w:cs="Times New Roman"/>
          <w:sz w:val="24"/>
        </w:rPr>
        <w:t xml:space="preserve"> Teniendo en cuenta que </w:t>
      </w:r>
      <w:r w:rsidR="00410048" w:rsidRPr="00410048">
        <w:rPr>
          <w:rFonts w:ascii="Arial Narrow" w:hAnsi="Arial Narrow" w:cs="Times New Roman"/>
          <w:sz w:val="24"/>
        </w:rPr>
        <w:t xml:space="preserve">la publicidad </w:t>
      </w:r>
      <w:r w:rsidR="00410048">
        <w:rPr>
          <w:rFonts w:ascii="Arial Narrow" w:hAnsi="Arial Narrow" w:cs="Times New Roman"/>
          <w:sz w:val="24"/>
        </w:rPr>
        <w:t xml:space="preserve">es </w:t>
      </w:r>
      <w:r w:rsidR="00410048" w:rsidRPr="00410048">
        <w:rPr>
          <w:rFonts w:ascii="Arial Narrow" w:hAnsi="Arial Narrow" w:cs="Times New Roman"/>
          <w:sz w:val="24"/>
        </w:rPr>
        <w:t>una de las formas más creativas de utilizar la lengua y, en consecuencia, el léxico</w:t>
      </w:r>
      <w:r w:rsidR="0037458B">
        <w:rPr>
          <w:rFonts w:ascii="Arial Narrow" w:hAnsi="Arial Narrow" w:cs="Times New Roman"/>
          <w:sz w:val="24"/>
        </w:rPr>
        <w:t xml:space="preserve"> es</w:t>
      </w:r>
      <w:r w:rsidR="00410048" w:rsidRPr="00410048">
        <w:rPr>
          <w:rFonts w:ascii="Arial Narrow" w:hAnsi="Arial Narrow" w:cs="Times New Roman"/>
          <w:sz w:val="24"/>
        </w:rPr>
        <w:t xml:space="preserve"> el nivel en el que más se manifiesta</w:t>
      </w:r>
      <w:r w:rsidR="00410048">
        <w:rPr>
          <w:rFonts w:ascii="Arial Narrow" w:hAnsi="Arial Narrow" w:cs="Times New Roman"/>
          <w:sz w:val="24"/>
        </w:rPr>
        <w:t>, en esta comunicación</w:t>
      </w:r>
      <w:r w:rsidR="0037458B">
        <w:rPr>
          <w:rFonts w:ascii="Arial Narrow" w:hAnsi="Arial Narrow" w:cs="Times New Roman"/>
          <w:sz w:val="24"/>
        </w:rPr>
        <w:t>,</w:t>
      </w:r>
      <w:r w:rsidR="00410048">
        <w:rPr>
          <w:rFonts w:ascii="Arial Narrow" w:hAnsi="Arial Narrow" w:cs="Times New Roman"/>
          <w:sz w:val="24"/>
        </w:rPr>
        <w:t xml:space="preserve"> </w:t>
      </w:r>
      <w:r w:rsidR="00410048" w:rsidRPr="00410048">
        <w:rPr>
          <w:rFonts w:ascii="Arial Narrow" w:hAnsi="Arial Narrow" w:cs="Times New Roman"/>
          <w:sz w:val="24"/>
        </w:rPr>
        <w:t>pretendemos destacar</w:t>
      </w:r>
      <w:r w:rsidR="00410048">
        <w:rPr>
          <w:rFonts w:ascii="Arial Narrow" w:hAnsi="Arial Narrow" w:cs="Times New Roman"/>
          <w:sz w:val="24"/>
        </w:rPr>
        <w:t xml:space="preserve"> el uso de la acronimia como uno de los mecanismos más</w:t>
      </w:r>
      <w:r w:rsidR="00F36AAA">
        <w:rPr>
          <w:rFonts w:ascii="Arial Narrow" w:hAnsi="Arial Narrow" w:cs="Times New Roman"/>
          <w:sz w:val="24"/>
        </w:rPr>
        <w:t xml:space="preserve"> empleado últimamente </w:t>
      </w:r>
      <w:r w:rsidR="00410048">
        <w:rPr>
          <w:rFonts w:ascii="Arial Narrow" w:hAnsi="Arial Narrow" w:cs="Times New Roman"/>
          <w:sz w:val="24"/>
        </w:rPr>
        <w:t xml:space="preserve">en la creación de nuevas unidades léxicas </w:t>
      </w:r>
      <w:r w:rsidR="006D2653">
        <w:rPr>
          <w:rFonts w:ascii="Arial Narrow" w:hAnsi="Arial Narrow" w:cs="Times New Roman"/>
          <w:sz w:val="24"/>
        </w:rPr>
        <w:t>en el lenguaje de la publicidad. Su empleo puede deberse bien a</w:t>
      </w:r>
      <w:r w:rsidR="00F36AAA">
        <w:rPr>
          <w:rFonts w:ascii="Arial Narrow" w:hAnsi="Arial Narrow" w:cs="Times New Roman"/>
          <w:sz w:val="24"/>
        </w:rPr>
        <w:t xml:space="preserve"> cuestiones denominativas o referenciales</w:t>
      </w:r>
      <w:r w:rsidR="006D2653">
        <w:rPr>
          <w:rFonts w:ascii="Arial Narrow" w:hAnsi="Arial Narrow" w:cs="Times New Roman"/>
          <w:sz w:val="24"/>
        </w:rPr>
        <w:t xml:space="preserve">, bien a </w:t>
      </w:r>
      <w:r w:rsidR="00F36AAA">
        <w:rPr>
          <w:rFonts w:ascii="Arial Narrow" w:hAnsi="Arial Narrow" w:cs="Times New Roman"/>
          <w:sz w:val="24"/>
        </w:rPr>
        <w:t>razones expresivas o estilísticas, contribuyendo así a</w:t>
      </w:r>
      <w:r w:rsidR="0037458B">
        <w:rPr>
          <w:rFonts w:ascii="Arial Narrow" w:hAnsi="Arial Narrow" w:cs="Times New Roman"/>
          <w:sz w:val="24"/>
        </w:rPr>
        <w:t>l</w:t>
      </w:r>
      <w:r w:rsidR="00F36AAA">
        <w:rPr>
          <w:rFonts w:ascii="Arial Narrow" w:hAnsi="Arial Narrow" w:cs="Times New Roman"/>
          <w:sz w:val="24"/>
        </w:rPr>
        <w:t xml:space="preserve"> impacto visual </w:t>
      </w:r>
      <w:r w:rsidR="006D2653">
        <w:rPr>
          <w:rFonts w:ascii="Arial Narrow" w:hAnsi="Arial Narrow" w:cs="Times New Roman"/>
          <w:sz w:val="24"/>
        </w:rPr>
        <w:t xml:space="preserve">y persuasivo </w:t>
      </w:r>
      <w:r w:rsidR="00F36AAA">
        <w:rPr>
          <w:rFonts w:ascii="Arial Narrow" w:hAnsi="Arial Narrow" w:cs="Times New Roman"/>
          <w:sz w:val="24"/>
        </w:rPr>
        <w:t>q</w:t>
      </w:r>
      <w:r w:rsidR="006D2653">
        <w:rPr>
          <w:rFonts w:ascii="Arial Narrow" w:hAnsi="Arial Narrow" w:cs="Times New Roman"/>
          <w:sz w:val="24"/>
        </w:rPr>
        <w:t>ue busca este tipo de lenguaje.</w:t>
      </w:r>
    </w:p>
    <w:p w:rsidR="006D2653" w:rsidRDefault="00410048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Para ello, caracterizamos este procedimiento dentro de la </w:t>
      </w:r>
      <w:r>
        <w:rPr>
          <w:rFonts w:ascii="Arial Narrow" w:hAnsi="Arial Narrow" w:cs="Times New Roman"/>
          <w:i/>
          <w:sz w:val="24"/>
        </w:rPr>
        <w:t>neología formal</w:t>
      </w:r>
      <w:r>
        <w:rPr>
          <w:rFonts w:ascii="Arial Narrow" w:hAnsi="Arial Narrow" w:cs="Times New Roman"/>
          <w:sz w:val="24"/>
        </w:rPr>
        <w:t xml:space="preserve"> como un tipo de </w:t>
      </w:r>
      <w:r>
        <w:rPr>
          <w:rFonts w:ascii="Arial Narrow" w:hAnsi="Arial Narrow" w:cs="Times New Roman"/>
          <w:i/>
          <w:sz w:val="24"/>
        </w:rPr>
        <w:t>acortamiento</w:t>
      </w:r>
      <w:r w:rsidR="005E4642">
        <w:rPr>
          <w:rFonts w:ascii="Arial Narrow" w:hAnsi="Arial Narrow" w:cs="Times New Roman"/>
          <w:sz w:val="24"/>
        </w:rPr>
        <w:t xml:space="preserve">, </w:t>
      </w:r>
      <w:r w:rsidR="00F36AAA">
        <w:rPr>
          <w:rFonts w:ascii="Arial Narrow" w:hAnsi="Arial Narrow" w:cs="Times New Roman"/>
          <w:sz w:val="24"/>
        </w:rPr>
        <w:t>observando las distintas denominaciones que ha recibido</w:t>
      </w:r>
      <w:r w:rsidR="006D2653">
        <w:rPr>
          <w:rFonts w:ascii="Arial Narrow" w:hAnsi="Arial Narrow" w:cs="Times New Roman"/>
          <w:sz w:val="24"/>
        </w:rPr>
        <w:t xml:space="preserve"> en los distintos tratados de formación y creación léxica,</w:t>
      </w:r>
      <w:r w:rsidR="00F36AAA">
        <w:rPr>
          <w:rFonts w:ascii="Arial Narrow" w:hAnsi="Arial Narrow" w:cs="Times New Roman"/>
          <w:sz w:val="24"/>
        </w:rPr>
        <w:t xml:space="preserve"> y </w:t>
      </w:r>
      <w:r w:rsidR="005E4642">
        <w:rPr>
          <w:rFonts w:ascii="Arial Narrow" w:hAnsi="Arial Narrow" w:cs="Times New Roman"/>
          <w:sz w:val="24"/>
        </w:rPr>
        <w:t xml:space="preserve">presentando una serie de peculiaridades que lo diferencian de otros, como son la </w:t>
      </w:r>
      <w:r w:rsidR="005E4642">
        <w:rPr>
          <w:rFonts w:ascii="Arial Narrow" w:hAnsi="Arial Narrow" w:cs="Times New Roman"/>
          <w:i/>
          <w:sz w:val="24"/>
        </w:rPr>
        <w:t>abreviación</w:t>
      </w:r>
      <w:r w:rsidR="005E4642">
        <w:rPr>
          <w:rFonts w:ascii="Arial Narrow" w:hAnsi="Arial Narrow" w:cs="Times New Roman"/>
          <w:sz w:val="24"/>
        </w:rPr>
        <w:t xml:space="preserve"> o el </w:t>
      </w:r>
      <w:r w:rsidR="005E4642">
        <w:rPr>
          <w:rFonts w:ascii="Arial Narrow" w:hAnsi="Arial Narrow" w:cs="Times New Roman"/>
          <w:i/>
          <w:sz w:val="24"/>
        </w:rPr>
        <w:t>abreviamiento</w:t>
      </w:r>
      <w:r w:rsidR="00F36AAA">
        <w:rPr>
          <w:rFonts w:ascii="Arial Narrow" w:hAnsi="Arial Narrow" w:cs="Times New Roman"/>
          <w:sz w:val="24"/>
        </w:rPr>
        <w:t xml:space="preserve"> y </w:t>
      </w:r>
      <w:r w:rsidR="005E4642">
        <w:rPr>
          <w:rFonts w:ascii="Arial Narrow" w:hAnsi="Arial Narrow" w:cs="Times New Roman"/>
          <w:sz w:val="24"/>
        </w:rPr>
        <w:t xml:space="preserve">la </w:t>
      </w:r>
      <w:r w:rsidR="005E4642">
        <w:rPr>
          <w:rFonts w:ascii="Arial Narrow" w:hAnsi="Arial Narrow" w:cs="Times New Roman"/>
          <w:i/>
          <w:sz w:val="24"/>
        </w:rPr>
        <w:t>siglación</w:t>
      </w:r>
      <w:r w:rsidR="006D2653">
        <w:rPr>
          <w:rFonts w:ascii="Arial Narrow" w:hAnsi="Arial Narrow" w:cs="Times New Roman"/>
          <w:sz w:val="24"/>
        </w:rPr>
        <w:t>.</w:t>
      </w:r>
    </w:p>
    <w:p w:rsidR="00F36AAA" w:rsidRDefault="005E4642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Una vez definido, veremos las distintas tip</w:t>
      </w:r>
      <w:r w:rsidR="006D2653">
        <w:rPr>
          <w:rFonts w:ascii="Arial Narrow" w:hAnsi="Arial Narrow" w:cs="Times New Roman"/>
          <w:sz w:val="24"/>
        </w:rPr>
        <w:t>ologías existentes, atendiendo:</w:t>
      </w:r>
    </w:p>
    <w:p w:rsidR="00F36AAA" w:rsidRDefault="00F36AAA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6D2653" w:rsidRDefault="005E4642" w:rsidP="00F36A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F36AAA">
        <w:rPr>
          <w:rFonts w:ascii="Arial Narrow" w:hAnsi="Arial Narrow" w:cs="Times New Roman"/>
          <w:sz w:val="24"/>
        </w:rPr>
        <w:t>por una lado</w:t>
      </w:r>
      <w:r w:rsidR="0037458B">
        <w:rPr>
          <w:rFonts w:ascii="Arial Narrow" w:hAnsi="Arial Narrow" w:cs="Times New Roman"/>
          <w:sz w:val="24"/>
        </w:rPr>
        <w:t>,</w:t>
      </w:r>
      <w:r w:rsidRPr="00F36AAA">
        <w:rPr>
          <w:rFonts w:ascii="Arial Narrow" w:hAnsi="Arial Narrow" w:cs="Times New Roman"/>
          <w:sz w:val="24"/>
        </w:rPr>
        <w:t xml:space="preserve"> a la categoría lingüística de los lexemas que sirven de base para su creación;</w:t>
      </w:r>
    </w:p>
    <w:p w:rsidR="006D2653" w:rsidRDefault="005E4642" w:rsidP="00F36A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F36AAA">
        <w:rPr>
          <w:rFonts w:ascii="Arial Narrow" w:hAnsi="Arial Narrow" w:cs="Times New Roman"/>
          <w:sz w:val="24"/>
        </w:rPr>
        <w:t>por otro, al componente fragme</w:t>
      </w:r>
      <w:r w:rsidR="006D2653">
        <w:rPr>
          <w:rFonts w:ascii="Arial Narrow" w:hAnsi="Arial Narrow" w:cs="Times New Roman"/>
          <w:sz w:val="24"/>
        </w:rPr>
        <w:t>ntado en dicho procedimiento y,</w:t>
      </w:r>
    </w:p>
    <w:p w:rsidR="00F36AAA" w:rsidRPr="00F36AAA" w:rsidRDefault="005E4642" w:rsidP="00F36A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F36AAA">
        <w:rPr>
          <w:rFonts w:ascii="Arial Narrow" w:hAnsi="Arial Narrow" w:cs="Times New Roman"/>
          <w:sz w:val="24"/>
        </w:rPr>
        <w:t>por otro, al número de unidades que integran este tipo de creaciones.</w:t>
      </w:r>
    </w:p>
    <w:p w:rsidR="006D2653" w:rsidRDefault="006D2653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2C73B1" w:rsidRDefault="00C73574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Finalmente, a partir de diferentes ejemplos extraídos del ámbito publicitario, veremos la tendencia que está tomado dicho mecanismo</w:t>
      </w:r>
      <w:r w:rsidR="0037458B">
        <w:rPr>
          <w:rFonts w:ascii="Arial Narrow" w:hAnsi="Arial Narrow" w:cs="Times New Roman"/>
          <w:sz w:val="24"/>
        </w:rPr>
        <w:t xml:space="preserve"> en</w:t>
      </w:r>
      <w:r>
        <w:rPr>
          <w:rFonts w:ascii="Arial Narrow" w:hAnsi="Arial Narrow" w:cs="Times New Roman"/>
          <w:sz w:val="24"/>
        </w:rPr>
        <w:t xml:space="preserve"> el sector estudiado, observando en ella la aparición de series acronímicas.</w:t>
      </w:r>
    </w:p>
    <w:p w:rsidR="00885A50" w:rsidRPr="0009153A" w:rsidRDefault="00885A50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2C73B1" w:rsidRDefault="002C73B1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C73574">
        <w:rPr>
          <w:rFonts w:ascii="Arial Narrow" w:hAnsi="Arial Narrow" w:cs="Times New Roman"/>
          <w:b/>
          <w:sz w:val="24"/>
        </w:rPr>
        <w:t>Temática (*):</w:t>
      </w:r>
      <w:r w:rsidRPr="0009153A">
        <w:rPr>
          <w:rFonts w:ascii="Arial Narrow" w:hAnsi="Arial Narrow" w:cs="Times New Roman"/>
          <w:sz w:val="24"/>
        </w:rPr>
        <w:t xml:space="preserve"> Neología y medios de comunicación</w:t>
      </w:r>
    </w:p>
    <w:p w:rsidR="006D2653" w:rsidRPr="0009153A" w:rsidRDefault="006D2653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2C73B1" w:rsidRPr="0009153A" w:rsidRDefault="002C73B1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C73574">
        <w:rPr>
          <w:rFonts w:ascii="Arial Narrow" w:hAnsi="Arial Narrow" w:cs="Times New Roman"/>
          <w:b/>
          <w:sz w:val="24"/>
        </w:rPr>
        <w:t>Idioma del texto complete (*):</w:t>
      </w:r>
      <w:r w:rsidRPr="0009153A">
        <w:rPr>
          <w:rFonts w:ascii="Arial Narrow" w:hAnsi="Arial Narrow" w:cs="Times New Roman"/>
          <w:sz w:val="24"/>
        </w:rPr>
        <w:t xml:space="preserve"> </w:t>
      </w:r>
      <w:r w:rsidR="006D2653" w:rsidRPr="0009153A">
        <w:rPr>
          <w:rFonts w:ascii="Arial Narrow" w:hAnsi="Arial Narrow" w:cs="Times New Roman"/>
          <w:sz w:val="24"/>
        </w:rPr>
        <w:t>español</w:t>
      </w:r>
    </w:p>
    <w:p w:rsidR="002C73B1" w:rsidRPr="0009153A" w:rsidRDefault="002C73B1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2C73B1" w:rsidRPr="0009153A" w:rsidRDefault="002C73B1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C73574">
        <w:rPr>
          <w:rFonts w:ascii="Arial Narrow" w:hAnsi="Arial Narrow" w:cs="Times New Roman"/>
          <w:b/>
          <w:sz w:val="24"/>
        </w:rPr>
        <w:t>Palabras –clave (*):</w:t>
      </w:r>
      <w:r w:rsidR="0009153A">
        <w:rPr>
          <w:rFonts w:ascii="Arial Narrow" w:hAnsi="Arial Narrow" w:cs="Times New Roman"/>
          <w:sz w:val="24"/>
        </w:rPr>
        <w:t xml:space="preserve"> </w:t>
      </w:r>
      <w:r w:rsidR="0009153A" w:rsidRPr="0009153A">
        <w:rPr>
          <w:rFonts w:ascii="Arial Narrow" w:hAnsi="Arial Narrow" w:cs="Times New Roman"/>
          <w:sz w:val="24"/>
        </w:rPr>
        <w:t>neología; neologismo; lenguaje de la publicidad</w:t>
      </w:r>
      <w:r w:rsidR="00885A50">
        <w:rPr>
          <w:rFonts w:ascii="Arial Narrow" w:hAnsi="Arial Narrow" w:cs="Times New Roman"/>
          <w:sz w:val="24"/>
        </w:rPr>
        <w:t>; acronimia</w:t>
      </w:r>
      <w:r w:rsidR="0009153A" w:rsidRPr="0009153A">
        <w:rPr>
          <w:rFonts w:ascii="Arial Narrow" w:hAnsi="Arial Narrow" w:cs="Times New Roman"/>
          <w:sz w:val="24"/>
        </w:rPr>
        <w:t>.</w:t>
      </w:r>
    </w:p>
    <w:p w:rsidR="007761AD" w:rsidRPr="0009153A" w:rsidRDefault="007761AD" w:rsidP="007761AD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0569EA" w:rsidRPr="0009153A" w:rsidRDefault="0009153A" w:rsidP="000A2674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Autores</w:t>
      </w:r>
    </w:p>
    <w:p w:rsidR="000569EA" w:rsidRPr="0009153A" w:rsidRDefault="000569EA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2C73B1" w:rsidRPr="0009153A" w:rsidRDefault="0009153A" w:rsidP="002C73B1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09153A">
        <w:rPr>
          <w:rFonts w:ascii="Arial Narrow" w:hAnsi="Arial Narrow" w:cs="Times New Roman"/>
          <w:sz w:val="24"/>
        </w:rPr>
        <w:t>Autor</w:t>
      </w:r>
      <w:r w:rsidR="002C73B1" w:rsidRPr="0009153A">
        <w:rPr>
          <w:rFonts w:ascii="Arial Narrow" w:hAnsi="Arial Narrow" w:cs="Times New Roman"/>
          <w:sz w:val="24"/>
        </w:rPr>
        <w:t>: Érika Vega Moreno</w:t>
      </w:r>
    </w:p>
    <w:p w:rsidR="002C73B1" w:rsidRPr="0009153A" w:rsidRDefault="002C73B1" w:rsidP="002C73B1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09153A">
        <w:rPr>
          <w:rFonts w:ascii="Arial Narrow" w:hAnsi="Arial Narrow" w:cs="Times New Roman"/>
          <w:sz w:val="24"/>
        </w:rPr>
        <w:t xml:space="preserve">Email (*): </w:t>
      </w:r>
      <w:hyperlink r:id="rId7" w:history="1">
        <w:r w:rsidR="0009153A" w:rsidRPr="0009153A">
          <w:rPr>
            <w:rStyle w:val="Hipervnculo"/>
            <w:rFonts w:ascii="Arial Narrow" w:hAnsi="Arial Narrow" w:cs="Times New Roman"/>
            <w:sz w:val="24"/>
          </w:rPr>
          <w:t>erika.vega@uca.es</w:t>
        </w:r>
      </w:hyperlink>
    </w:p>
    <w:p w:rsidR="0009153A" w:rsidRDefault="0009153A" w:rsidP="002C73B1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09153A">
        <w:rPr>
          <w:rFonts w:ascii="Arial Narrow" w:hAnsi="Arial Narrow" w:cs="Times New Roman"/>
          <w:sz w:val="24"/>
        </w:rPr>
        <w:t>Equipo de Investigación: Semaínein (HUM-147)</w:t>
      </w:r>
    </w:p>
    <w:p w:rsidR="0009153A" w:rsidRPr="0009153A" w:rsidRDefault="0009153A" w:rsidP="002C73B1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2C73B1" w:rsidRDefault="0009153A" w:rsidP="002C73B1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Filiación:</w:t>
      </w:r>
      <w:r w:rsidR="002C73B1" w:rsidRPr="0009153A">
        <w:rPr>
          <w:rFonts w:ascii="Arial Narrow" w:hAnsi="Arial Narrow" w:cs="Times New Roman"/>
          <w:sz w:val="24"/>
        </w:rPr>
        <w:t xml:space="preserve"> Universidad de Cádiz</w:t>
      </w:r>
    </w:p>
    <w:p w:rsidR="0009153A" w:rsidRDefault="0009153A" w:rsidP="002C73B1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Sigla: UCA</w:t>
      </w:r>
    </w:p>
    <w:p w:rsidR="0009153A" w:rsidRPr="0009153A" w:rsidRDefault="0009153A" w:rsidP="002C73B1">
      <w:pPr>
        <w:spacing w:after="0" w:line="240" w:lineRule="auto"/>
        <w:jc w:val="both"/>
        <w:rPr>
          <w:rFonts w:ascii="Arial Narrow" w:hAnsi="Arial Narrow" w:cs="Times New Roman"/>
          <w:sz w:val="24"/>
          <w:lang w:val="en-US"/>
        </w:rPr>
      </w:pPr>
      <w:proofErr w:type="gramStart"/>
      <w:r w:rsidRPr="0009153A">
        <w:rPr>
          <w:rFonts w:ascii="Arial Narrow" w:hAnsi="Arial Narrow" w:cs="Times New Roman"/>
          <w:sz w:val="24"/>
          <w:lang w:val="en-US"/>
        </w:rPr>
        <w:t>Url</w:t>
      </w:r>
      <w:proofErr w:type="gramEnd"/>
      <w:r w:rsidRPr="0009153A">
        <w:rPr>
          <w:rFonts w:ascii="Arial Narrow" w:hAnsi="Arial Narrow" w:cs="Times New Roman"/>
          <w:sz w:val="24"/>
          <w:lang w:val="en-US"/>
        </w:rPr>
        <w:t xml:space="preserve">: </w:t>
      </w:r>
      <w:hyperlink r:id="rId8" w:history="1">
        <w:r w:rsidRPr="0009153A">
          <w:rPr>
            <w:rStyle w:val="Hipervnculo"/>
            <w:rFonts w:ascii="Arial Narrow" w:hAnsi="Arial Narrow" w:cs="Times New Roman"/>
            <w:sz w:val="24"/>
            <w:lang w:val="en-US"/>
          </w:rPr>
          <w:t>http://www.uca.es/</w:t>
        </w:r>
      </w:hyperlink>
    </w:p>
    <w:p w:rsidR="0009153A" w:rsidRPr="0009153A" w:rsidRDefault="0009153A" w:rsidP="002C73B1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09153A">
        <w:rPr>
          <w:rFonts w:ascii="Arial Narrow" w:hAnsi="Arial Narrow" w:cs="Times New Roman"/>
          <w:sz w:val="24"/>
        </w:rPr>
        <w:t>Dirección: F</w:t>
      </w:r>
      <w:r>
        <w:rPr>
          <w:rFonts w:ascii="Arial Narrow" w:hAnsi="Arial Narrow" w:cs="Times New Roman"/>
          <w:sz w:val="24"/>
        </w:rPr>
        <w:t xml:space="preserve">acultad de Filosofía y Letras. </w:t>
      </w:r>
      <w:r w:rsidRPr="0009153A">
        <w:rPr>
          <w:rFonts w:ascii="Arial Narrow" w:hAnsi="Arial Narrow" w:cs="Times New Roman"/>
          <w:sz w:val="24"/>
        </w:rPr>
        <w:t>Avda. Gómez Ulla s/n</w:t>
      </w:r>
      <w:r>
        <w:rPr>
          <w:rFonts w:ascii="Arial Narrow" w:hAnsi="Arial Narrow" w:cs="Times New Roman"/>
          <w:sz w:val="24"/>
        </w:rPr>
        <w:t>.</w:t>
      </w:r>
      <w:r w:rsidRPr="0009153A">
        <w:rPr>
          <w:rFonts w:ascii="Arial Narrow" w:hAnsi="Arial Narrow" w:cs="Times New Roman"/>
          <w:sz w:val="24"/>
        </w:rPr>
        <w:t xml:space="preserve"> 11003 Cádiz (España)</w:t>
      </w:r>
      <w:r>
        <w:rPr>
          <w:rFonts w:ascii="Arial Narrow" w:hAnsi="Arial Narrow" w:cs="Times New Roman"/>
          <w:sz w:val="24"/>
        </w:rPr>
        <w:t>.</w:t>
      </w:r>
    </w:p>
    <w:p w:rsidR="002C73B1" w:rsidRDefault="002C73B1" w:rsidP="000A2674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09153A" w:rsidRDefault="0009153A" w:rsidP="0009153A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Filiación:</w:t>
      </w:r>
      <w:r w:rsidRPr="0009153A">
        <w:rPr>
          <w:rFonts w:ascii="Arial Narrow" w:hAnsi="Arial Narrow" w:cs="Times New Roman"/>
          <w:sz w:val="24"/>
        </w:rPr>
        <w:t xml:space="preserve"> </w:t>
      </w:r>
      <w:r>
        <w:rPr>
          <w:rFonts w:ascii="Arial Narrow" w:hAnsi="Arial Narrow" w:cs="Times New Roman"/>
          <w:sz w:val="24"/>
        </w:rPr>
        <w:t>Instituto Universitario de Investigación en Lingüística Aplicada</w:t>
      </w:r>
    </w:p>
    <w:p w:rsidR="0009153A" w:rsidRDefault="0009153A" w:rsidP="0009153A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Sigla: ILA</w:t>
      </w:r>
    </w:p>
    <w:p w:rsidR="0009153A" w:rsidRPr="00F36AAA" w:rsidRDefault="0009153A" w:rsidP="0009153A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F36AAA">
        <w:rPr>
          <w:rFonts w:ascii="Arial Narrow" w:hAnsi="Arial Narrow" w:cs="Times New Roman"/>
          <w:sz w:val="24"/>
        </w:rPr>
        <w:t xml:space="preserve">Url: </w:t>
      </w:r>
      <w:hyperlink r:id="rId9" w:history="1">
        <w:r w:rsidRPr="00F36AAA">
          <w:rPr>
            <w:rStyle w:val="Hipervnculo"/>
            <w:rFonts w:ascii="Arial Narrow" w:hAnsi="Arial Narrow" w:cs="Times New Roman"/>
            <w:sz w:val="24"/>
          </w:rPr>
          <w:t>http://ila.uca.es/</w:t>
        </w:r>
      </w:hyperlink>
    </w:p>
    <w:p w:rsidR="00BA55B2" w:rsidRPr="0009153A" w:rsidRDefault="0009153A" w:rsidP="00BA55B2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  <w:r w:rsidRPr="0009153A">
        <w:rPr>
          <w:rFonts w:ascii="Arial Narrow" w:hAnsi="Arial Narrow" w:cs="Times New Roman"/>
          <w:sz w:val="24"/>
        </w:rPr>
        <w:t>Dirección: Avenida Duque de Nájera</w:t>
      </w:r>
      <w:r w:rsidR="006D2653" w:rsidRPr="0009153A">
        <w:rPr>
          <w:rFonts w:ascii="Arial Narrow" w:hAnsi="Arial Narrow" w:cs="Times New Roman"/>
          <w:sz w:val="24"/>
        </w:rPr>
        <w:t>, 16</w:t>
      </w:r>
      <w:r w:rsidRPr="0009153A">
        <w:rPr>
          <w:rFonts w:ascii="Arial Narrow" w:hAnsi="Arial Narrow" w:cs="Times New Roman"/>
          <w:sz w:val="24"/>
        </w:rPr>
        <w:t>, Edificio Simón Bolívar, 2ª planta. 11002 Cádiz (España)</w:t>
      </w:r>
      <w:r>
        <w:rPr>
          <w:rFonts w:ascii="Arial Narrow" w:hAnsi="Arial Narrow" w:cs="Times New Roman"/>
          <w:sz w:val="24"/>
        </w:rPr>
        <w:t>.</w:t>
      </w:r>
    </w:p>
    <w:sectPr w:rsidR="00BA55B2" w:rsidRPr="00091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94D5F"/>
    <w:multiLevelType w:val="hybridMultilevel"/>
    <w:tmpl w:val="F0E2C4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E2E38"/>
    <w:multiLevelType w:val="hybridMultilevel"/>
    <w:tmpl w:val="7382A830"/>
    <w:lvl w:ilvl="0" w:tplc="C92E5D0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EA"/>
    <w:rsid w:val="000569EA"/>
    <w:rsid w:val="0009153A"/>
    <w:rsid w:val="000A2674"/>
    <w:rsid w:val="000F410B"/>
    <w:rsid w:val="000F484E"/>
    <w:rsid w:val="00270241"/>
    <w:rsid w:val="002A6B4E"/>
    <w:rsid w:val="002C73B1"/>
    <w:rsid w:val="0030296F"/>
    <w:rsid w:val="0037458B"/>
    <w:rsid w:val="003D02F8"/>
    <w:rsid w:val="00410048"/>
    <w:rsid w:val="00417F9C"/>
    <w:rsid w:val="00427E0F"/>
    <w:rsid w:val="005500A2"/>
    <w:rsid w:val="005D7CC1"/>
    <w:rsid w:val="005E4642"/>
    <w:rsid w:val="00620BF6"/>
    <w:rsid w:val="00646BFD"/>
    <w:rsid w:val="00670455"/>
    <w:rsid w:val="006D0EF8"/>
    <w:rsid w:val="006D2653"/>
    <w:rsid w:val="0070669E"/>
    <w:rsid w:val="007761AD"/>
    <w:rsid w:val="00792710"/>
    <w:rsid w:val="008147FE"/>
    <w:rsid w:val="008526A1"/>
    <w:rsid w:val="00884D40"/>
    <w:rsid w:val="00885A50"/>
    <w:rsid w:val="008C3C03"/>
    <w:rsid w:val="00916A93"/>
    <w:rsid w:val="009E4550"/>
    <w:rsid w:val="00A0672D"/>
    <w:rsid w:val="00A43671"/>
    <w:rsid w:val="00A71271"/>
    <w:rsid w:val="00A92383"/>
    <w:rsid w:val="00BA55B2"/>
    <w:rsid w:val="00C73574"/>
    <w:rsid w:val="00CF471F"/>
    <w:rsid w:val="00DD3D64"/>
    <w:rsid w:val="00DF2B3A"/>
    <w:rsid w:val="00E050F6"/>
    <w:rsid w:val="00ED2C76"/>
    <w:rsid w:val="00F36AAA"/>
    <w:rsid w:val="00F43219"/>
    <w:rsid w:val="00F96835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10721-55F9-4B5C-B214-D5A21B2F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9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24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1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" TargetMode="External"/><Relationship Id="rId3" Type="http://schemas.openxmlformats.org/officeDocument/2006/relationships/styles" Target="styles.xml"/><Relationship Id="rId7" Type="http://schemas.openxmlformats.org/officeDocument/2006/relationships/hyperlink" Target="mailto:erika.vega@uc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la.uc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B4C5-2CF5-4CC5-A22A-B939EDAD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Érika Vega Moreno</dc:creator>
  <cp:keywords/>
  <dc:description/>
  <cp:lastModifiedBy>Érika Vega Moreno</cp:lastModifiedBy>
  <cp:revision>4</cp:revision>
  <dcterms:created xsi:type="dcterms:W3CDTF">2017-10-21T16:32:00Z</dcterms:created>
  <dcterms:modified xsi:type="dcterms:W3CDTF">2017-10-21T16:33:00Z</dcterms:modified>
</cp:coreProperties>
</file>